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503EA50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3C1C6A1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15874">
        <w:rPr>
          <w:rFonts w:ascii="Cambria" w:hAnsi="Cambria" w:cs="MyriadPro-Black"/>
          <w:caps/>
          <w:color w:val="A6A6A6"/>
          <w:sz w:val="40"/>
          <w:szCs w:val="40"/>
        </w:rPr>
        <w:t>4.1</w:t>
      </w:r>
    </w:p>
    <w:p w14:paraId="1359D8B9" w14:textId="387C505C"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8E1B8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6CA7B2F9" w14:textId="1423A2D1"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8E1B81">
        <w:rPr>
          <w:rFonts w:ascii="Cambria" w:hAnsi="Cambria" w:cs="MyriadPro-Black"/>
          <w:caps/>
          <w:color w:val="A6A6A6"/>
          <w:sz w:val="32"/>
          <w:szCs w:val="40"/>
        </w:rPr>
        <w:t>7. 9</w:t>
      </w:r>
      <w:r w:rsidRPr="005373D0">
        <w:rPr>
          <w:rFonts w:ascii="Cambria" w:hAnsi="Cambria" w:cs="MyriadPro-Black"/>
          <w:caps/>
          <w:color w:val="A6A6A6"/>
          <w:sz w:val="32"/>
          <w:szCs w:val="40"/>
        </w:rPr>
        <w:t>. 201</w:t>
      </w:r>
      <w:r w:rsidR="000957E2">
        <w:rPr>
          <w:rFonts w:ascii="Cambria" w:hAnsi="Cambria" w:cs="MyriadPro-Black"/>
          <w:caps/>
          <w:color w:val="A6A6A6"/>
          <w:sz w:val="32"/>
          <w:szCs w:val="40"/>
        </w:rPr>
        <w:t>6</w:t>
      </w:r>
    </w:p>
    <w:bookmarkEnd w:id="4" w:displacedByCustomXml="next"/>
    <w:bookmarkEnd w:id="3" w:displacedByCustomXml="next"/>
    <w:bookmarkEnd w:id="2" w:displacedByCustomXml="next"/>
    <w:bookmarkEnd w:id="1" w:displacedByCustomXml="next"/>
    <w:bookmarkEnd w:id="0" w:displacedByCustomXml="next"/>
    <w:sdt>
      <w:sdtPr>
        <w:rPr>
          <w:b/>
          <w:bCs/>
        </w:rPr>
        <w:id w:val="-183207615"/>
        <w:docPartObj>
          <w:docPartGallery w:val="Table of Contents"/>
          <w:docPartUnique/>
        </w:docPartObj>
      </w:sdtPr>
      <w:sdtEndPr>
        <w:rPr>
          <w:b w:val="0"/>
          <w:bCs w:val="0"/>
        </w:rPr>
      </w:sdtEndPr>
      <w:sdtContent>
        <w:p w14:paraId="4A733DD1" w14:textId="3E9BD017" w:rsidR="00AD24B8" w:rsidRPr="00D803AD" w:rsidRDefault="00AD24B8" w:rsidP="00D803AD">
          <w:pPr>
            <w:rPr>
              <w:caps/>
              <w:color w:val="365F91" w:themeColor="accent1" w:themeShade="BF"/>
            </w:rPr>
          </w:pPr>
          <w:r w:rsidRPr="00D803AD">
            <w:rPr>
              <w:rFonts w:ascii="Cambria" w:hAnsi="Cambria"/>
              <w:caps/>
              <w:color w:val="365F91" w:themeColor="accent1" w:themeShade="BF"/>
              <w:sz w:val="28"/>
              <w:szCs w:val="28"/>
            </w:rPr>
            <w:t>Obsah</w:t>
          </w:r>
        </w:p>
        <w:p w14:paraId="335F3C13" w14:textId="77777777" w:rsidR="00D803AD"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1022031" w:history="1">
            <w:r w:rsidR="00D803AD" w:rsidRPr="006B3BCC">
              <w:rPr>
                <w:rStyle w:val="Hypertextovodkaz"/>
                <w:caps/>
                <w:noProof/>
              </w:rPr>
              <w:t>1.</w:t>
            </w:r>
            <w:r w:rsidR="00D803AD">
              <w:rPr>
                <w:rFonts w:eastAsiaTheme="minorEastAsia"/>
                <w:noProof/>
                <w:lang w:eastAsia="cs-CZ"/>
              </w:rPr>
              <w:tab/>
            </w:r>
            <w:r w:rsidR="00D803AD" w:rsidRPr="006B3BCC">
              <w:rPr>
                <w:rStyle w:val="Hypertextovodkaz"/>
                <w:caps/>
                <w:noProof/>
              </w:rPr>
              <w:t>ÚVODNÍ INFORMACE</w:t>
            </w:r>
            <w:r w:rsidR="00D803AD">
              <w:rPr>
                <w:noProof/>
                <w:webHidden/>
              </w:rPr>
              <w:tab/>
            </w:r>
            <w:r w:rsidR="00D803AD">
              <w:rPr>
                <w:noProof/>
                <w:webHidden/>
              </w:rPr>
              <w:fldChar w:fldCharType="begin"/>
            </w:r>
            <w:r w:rsidR="00D803AD">
              <w:rPr>
                <w:noProof/>
                <w:webHidden/>
              </w:rPr>
              <w:instrText xml:space="preserve"> PAGEREF _Toc461022031 \h </w:instrText>
            </w:r>
            <w:r w:rsidR="00D803AD">
              <w:rPr>
                <w:noProof/>
                <w:webHidden/>
              </w:rPr>
            </w:r>
            <w:r w:rsidR="00D803AD">
              <w:rPr>
                <w:noProof/>
                <w:webHidden/>
              </w:rPr>
              <w:fldChar w:fldCharType="separate"/>
            </w:r>
            <w:r w:rsidR="00D803AD">
              <w:rPr>
                <w:noProof/>
                <w:webHidden/>
              </w:rPr>
              <w:t>3</w:t>
            </w:r>
            <w:r w:rsidR="00D803AD">
              <w:rPr>
                <w:noProof/>
                <w:webHidden/>
              </w:rPr>
              <w:fldChar w:fldCharType="end"/>
            </w:r>
          </w:hyperlink>
        </w:p>
        <w:p w14:paraId="6790621E" w14:textId="77777777" w:rsidR="00D803AD" w:rsidRDefault="00D803AD">
          <w:pPr>
            <w:pStyle w:val="Obsah1"/>
            <w:tabs>
              <w:tab w:val="left" w:pos="440"/>
              <w:tab w:val="right" w:leader="dot" w:pos="9062"/>
            </w:tabs>
            <w:rPr>
              <w:rFonts w:eastAsiaTheme="minorEastAsia"/>
              <w:noProof/>
              <w:lang w:eastAsia="cs-CZ"/>
            </w:rPr>
          </w:pPr>
          <w:hyperlink w:anchor="_Toc461022032" w:history="1">
            <w:r w:rsidRPr="006B3BCC">
              <w:rPr>
                <w:rStyle w:val="Hypertextovodkaz"/>
                <w:caps/>
                <w:noProof/>
              </w:rPr>
              <w:t>2.</w:t>
            </w:r>
            <w:r>
              <w:rPr>
                <w:rFonts w:eastAsiaTheme="minorEastAsia"/>
                <w:noProof/>
                <w:lang w:eastAsia="cs-CZ"/>
              </w:rPr>
              <w:tab/>
            </w:r>
            <w:r w:rsidRPr="006B3BCC">
              <w:rPr>
                <w:rStyle w:val="Hypertextovodkaz"/>
                <w:caps/>
                <w:noProof/>
              </w:rPr>
              <w:t>ZÁKLADNÍ INFORMACE O ŽADATELI</w:t>
            </w:r>
            <w:r>
              <w:rPr>
                <w:noProof/>
                <w:webHidden/>
              </w:rPr>
              <w:tab/>
            </w:r>
            <w:r>
              <w:rPr>
                <w:noProof/>
                <w:webHidden/>
              </w:rPr>
              <w:fldChar w:fldCharType="begin"/>
            </w:r>
            <w:r>
              <w:rPr>
                <w:noProof/>
                <w:webHidden/>
              </w:rPr>
              <w:instrText xml:space="preserve"> PAGEREF _Toc461022032 \h </w:instrText>
            </w:r>
            <w:r>
              <w:rPr>
                <w:noProof/>
                <w:webHidden/>
              </w:rPr>
            </w:r>
            <w:r>
              <w:rPr>
                <w:noProof/>
                <w:webHidden/>
              </w:rPr>
              <w:fldChar w:fldCharType="separate"/>
            </w:r>
            <w:r>
              <w:rPr>
                <w:noProof/>
                <w:webHidden/>
              </w:rPr>
              <w:t>3</w:t>
            </w:r>
            <w:r>
              <w:rPr>
                <w:noProof/>
                <w:webHidden/>
              </w:rPr>
              <w:fldChar w:fldCharType="end"/>
            </w:r>
          </w:hyperlink>
        </w:p>
        <w:p w14:paraId="29110219" w14:textId="77777777" w:rsidR="00D803AD" w:rsidRDefault="00D803AD">
          <w:pPr>
            <w:pStyle w:val="Obsah1"/>
            <w:tabs>
              <w:tab w:val="left" w:pos="440"/>
              <w:tab w:val="right" w:leader="dot" w:pos="9062"/>
            </w:tabs>
            <w:rPr>
              <w:rFonts w:eastAsiaTheme="minorEastAsia"/>
              <w:noProof/>
              <w:lang w:eastAsia="cs-CZ"/>
            </w:rPr>
          </w:pPr>
          <w:hyperlink w:anchor="_Toc461022033" w:history="1">
            <w:r w:rsidRPr="006B3BCC">
              <w:rPr>
                <w:rStyle w:val="Hypertextovodkaz"/>
                <w:caps/>
                <w:noProof/>
              </w:rPr>
              <w:t>3.</w:t>
            </w:r>
            <w:r>
              <w:rPr>
                <w:rFonts w:eastAsiaTheme="minorEastAsia"/>
                <w:noProof/>
                <w:lang w:eastAsia="cs-CZ"/>
              </w:rPr>
              <w:tab/>
            </w:r>
            <w:r w:rsidRPr="006B3BCC">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_Toc461022033 \h </w:instrText>
            </w:r>
            <w:r>
              <w:rPr>
                <w:noProof/>
                <w:webHidden/>
              </w:rPr>
            </w:r>
            <w:r>
              <w:rPr>
                <w:noProof/>
                <w:webHidden/>
              </w:rPr>
              <w:fldChar w:fldCharType="separate"/>
            </w:r>
            <w:r>
              <w:rPr>
                <w:noProof/>
                <w:webHidden/>
              </w:rPr>
              <w:t>3</w:t>
            </w:r>
            <w:r>
              <w:rPr>
                <w:noProof/>
                <w:webHidden/>
              </w:rPr>
              <w:fldChar w:fldCharType="end"/>
            </w:r>
          </w:hyperlink>
        </w:p>
        <w:p w14:paraId="0C8A53D3" w14:textId="77777777" w:rsidR="00D803AD" w:rsidRDefault="00D803AD">
          <w:pPr>
            <w:pStyle w:val="Obsah1"/>
            <w:tabs>
              <w:tab w:val="left" w:pos="440"/>
              <w:tab w:val="right" w:leader="dot" w:pos="9062"/>
            </w:tabs>
            <w:rPr>
              <w:rFonts w:eastAsiaTheme="minorEastAsia"/>
              <w:noProof/>
              <w:lang w:eastAsia="cs-CZ"/>
            </w:rPr>
          </w:pPr>
          <w:hyperlink w:anchor="_Toc461022034" w:history="1">
            <w:r w:rsidRPr="006B3BCC">
              <w:rPr>
                <w:rStyle w:val="Hypertextovodkaz"/>
                <w:caps/>
                <w:noProof/>
              </w:rPr>
              <w:t>4.</w:t>
            </w:r>
            <w:r>
              <w:rPr>
                <w:rFonts w:eastAsiaTheme="minorEastAsia"/>
                <w:noProof/>
                <w:lang w:eastAsia="cs-CZ"/>
              </w:rPr>
              <w:tab/>
            </w:r>
            <w:r w:rsidRPr="006B3BCC">
              <w:rPr>
                <w:rStyle w:val="Hypertextovodkaz"/>
                <w:caps/>
                <w:noProof/>
              </w:rPr>
              <w:t>Podrobný popis projektu</w:t>
            </w:r>
            <w:r>
              <w:rPr>
                <w:noProof/>
                <w:webHidden/>
              </w:rPr>
              <w:tab/>
            </w:r>
            <w:r>
              <w:rPr>
                <w:noProof/>
                <w:webHidden/>
              </w:rPr>
              <w:fldChar w:fldCharType="begin"/>
            </w:r>
            <w:r>
              <w:rPr>
                <w:noProof/>
                <w:webHidden/>
              </w:rPr>
              <w:instrText xml:space="preserve"> PAGEREF _Toc461022034 \h </w:instrText>
            </w:r>
            <w:r>
              <w:rPr>
                <w:noProof/>
                <w:webHidden/>
              </w:rPr>
            </w:r>
            <w:r>
              <w:rPr>
                <w:noProof/>
                <w:webHidden/>
              </w:rPr>
              <w:fldChar w:fldCharType="separate"/>
            </w:r>
            <w:r>
              <w:rPr>
                <w:noProof/>
                <w:webHidden/>
              </w:rPr>
              <w:t>3</w:t>
            </w:r>
            <w:r>
              <w:rPr>
                <w:noProof/>
                <w:webHidden/>
              </w:rPr>
              <w:fldChar w:fldCharType="end"/>
            </w:r>
          </w:hyperlink>
        </w:p>
        <w:p w14:paraId="31BE77DB" w14:textId="77777777" w:rsidR="00D803AD" w:rsidRDefault="00D803AD">
          <w:pPr>
            <w:pStyle w:val="Obsah1"/>
            <w:tabs>
              <w:tab w:val="left" w:pos="440"/>
              <w:tab w:val="right" w:leader="dot" w:pos="9062"/>
            </w:tabs>
            <w:rPr>
              <w:rFonts w:eastAsiaTheme="minorEastAsia"/>
              <w:noProof/>
              <w:lang w:eastAsia="cs-CZ"/>
            </w:rPr>
          </w:pPr>
          <w:hyperlink w:anchor="_Toc461022035" w:history="1">
            <w:r w:rsidRPr="006B3BCC">
              <w:rPr>
                <w:rStyle w:val="Hypertextovodkaz"/>
                <w:caps/>
                <w:noProof/>
              </w:rPr>
              <w:t>5.</w:t>
            </w:r>
            <w:r>
              <w:rPr>
                <w:rFonts w:eastAsiaTheme="minorEastAsia"/>
                <w:noProof/>
                <w:lang w:eastAsia="cs-CZ"/>
              </w:rPr>
              <w:tab/>
            </w:r>
            <w:r w:rsidRPr="006B3BCC">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_Toc461022035 \h </w:instrText>
            </w:r>
            <w:r>
              <w:rPr>
                <w:noProof/>
                <w:webHidden/>
              </w:rPr>
            </w:r>
            <w:r>
              <w:rPr>
                <w:noProof/>
                <w:webHidden/>
              </w:rPr>
              <w:fldChar w:fldCharType="separate"/>
            </w:r>
            <w:r>
              <w:rPr>
                <w:noProof/>
                <w:webHidden/>
              </w:rPr>
              <w:t>4</w:t>
            </w:r>
            <w:r>
              <w:rPr>
                <w:noProof/>
                <w:webHidden/>
              </w:rPr>
              <w:fldChar w:fldCharType="end"/>
            </w:r>
          </w:hyperlink>
        </w:p>
        <w:p w14:paraId="7308DADB" w14:textId="77777777" w:rsidR="00D803AD" w:rsidRDefault="00D803AD">
          <w:pPr>
            <w:pStyle w:val="Obsah1"/>
            <w:tabs>
              <w:tab w:val="left" w:pos="440"/>
              <w:tab w:val="right" w:leader="dot" w:pos="9062"/>
            </w:tabs>
            <w:rPr>
              <w:rFonts w:eastAsiaTheme="minorEastAsia"/>
              <w:noProof/>
              <w:lang w:eastAsia="cs-CZ"/>
            </w:rPr>
          </w:pPr>
          <w:hyperlink w:anchor="_Toc461022036" w:history="1">
            <w:r w:rsidRPr="006B3BCC">
              <w:rPr>
                <w:rStyle w:val="Hypertextovodkaz"/>
                <w:caps/>
                <w:noProof/>
              </w:rPr>
              <w:t>6.</w:t>
            </w:r>
            <w:r>
              <w:rPr>
                <w:rFonts w:eastAsiaTheme="minorEastAsia"/>
                <w:noProof/>
                <w:lang w:eastAsia="cs-CZ"/>
              </w:rPr>
              <w:tab/>
            </w:r>
            <w:r w:rsidRPr="006B3BCC">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_Toc461022036 \h </w:instrText>
            </w:r>
            <w:r>
              <w:rPr>
                <w:noProof/>
                <w:webHidden/>
              </w:rPr>
            </w:r>
            <w:r>
              <w:rPr>
                <w:noProof/>
                <w:webHidden/>
              </w:rPr>
              <w:fldChar w:fldCharType="separate"/>
            </w:r>
            <w:r>
              <w:rPr>
                <w:noProof/>
                <w:webHidden/>
              </w:rPr>
              <w:t>4</w:t>
            </w:r>
            <w:r>
              <w:rPr>
                <w:noProof/>
                <w:webHidden/>
              </w:rPr>
              <w:fldChar w:fldCharType="end"/>
            </w:r>
          </w:hyperlink>
        </w:p>
        <w:p w14:paraId="35C0FCA5" w14:textId="77777777" w:rsidR="00D803AD" w:rsidRDefault="00D803AD">
          <w:pPr>
            <w:pStyle w:val="Obsah1"/>
            <w:tabs>
              <w:tab w:val="left" w:pos="440"/>
              <w:tab w:val="right" w:leader="dot" w:pos="9062"/>
            </w:tabs>
            <w:rPr>
              <w:rFonts w:eastAsiaTheme="minorEastAsia"/>
              <w:noProof/>
              <w:lang w:eastAsia="cs-CZ"/>
            </w:rPr>
          </w:pPr>
          <w:hyperlink w:anchor="_Toc461022037" w:history="1">
            <w:r w:rsidRPr="006B3BCC">
              <w:rPr>
                <w:rStyle w:val="Hypertextovodkaz"/>
                <w:caps/>
                <w:noProof/>
              </w:rPr>
              <w:t>7.</w:t>
            </w:r>
            <w:r>
              <w:rPr>
                <w:rFonts w:eastAsiaTheme="minorEastAsia"/>
                <w:noProof/>
                <w:lang w:eastAsia="cs-CZ"/>
              </w:rPr>
              <w:tab/>
            </w:r>
            <w:r w:rsidRPr="006B3BCC">
              <w:rPr>
                <w:rStyle w:val="Hypertextovodkaz"/>
                <w:caps/>
                <w:noProof/>
              </w:rPr>
              <w:t>Vliv projektu na životní prostředí</w:t>
            </w:r>
            <w:r>
              <w:rPr>
                <w:noProof/>
                <w:webHidden/>
              </w:rPr>
              <w:tab/>
            </w:r>
            <w:r>
              <w:rPr>
                <w:noProof/>
                <w:webHidden/>
              </w:rPr>
              <w:fldChar w:fldCharType="begin"/>
            </w:r>
            <w:r>
              <w:rPr>
                <w:noProof/>
                <w:webHidden/>
              </w:rPr>
              <w:instrText xml:space="preserve"> PAGEREF _Toc461022037 \h </w:instrText>
            </w:r>
            <w:r>
              <w:rPr>
                <w:noProof/>
                <w:webHidden/>
              </w:rPr>
            </w:r>
            <w:r>
              <w:rPr>
                <w:noProof/>
                <w:webHidden/>
              </w:rPr>
              <w:fldChar w:fldCharType="separate"/>
            </w:r>
            <w:r>
              <w:rPr>
                <w:noProof/>
                <w:webHidden/>
              </w:rPr>
              <w:t>4</w:t>
            </w:r>
            <w:r>
              <w:rPr>
                <w:noProof/>
                <w:webHidden/>
              </w:rPr>
              <w:fldChar w:fldCharType="end"/>
            </w:r>
          </w:hyperlink>
        </w:p>
        <w:p w14:paraId="47A90DCC" w14:textId="77777777" w:rsidR="00D803AD" w:rsidRDefault="00D803AD">
          <w:pPr>
            <w:pStyle w:val="Obsah1"/>
            <w:tabs>
              <w:tab w:val="left" w:pos="440"/>
              <w:tab w:val="right" w:leader="dot" w:pos="9062"/>
            </w:tabs>
            <w:rPr>
              <w:rFonts w:eastAsiaTheme="minorEastAsia"/>
              <w:noProof/>
              <w:lang w:eastAsia="cs-CZ"/>
            </w:rPr>
          </w:pPr>
          <w:hyperlink w:anchor="_Toc461022038" w:history="1">
            <w:r w:rsidRPr="006B3BCC">
              <w:rPr>
                <w:rStyle w:val="Hypertextovodkaz"/>
                <w:caps/>
                <w:noProof/>
              </w:rPr>
              <w:t>8.</w:t>
            </w:r>
            <w:r>
              <w:rPr>
                <w:rFonts w:eastAsiaTheme="minorEastAsia"/>
                <w:noProof/>
                <w:lang w:eastAsia="cs-CZ"/>
              </w:rPr>
              <w:tab/>
            </w:r>
            <w:r w:rsidRPr="006B3BCC">
              <w:rPr>
                <w:rStyle w:val="Hypertextovodkaz"/>
                <w:caps/>
                <w:noProof/>
              </w:rPr>
              <w:t>Dlouhodobý majetek</w:t>
            </w:r>
            <w:r>
              <w:rPr>
                <w:noProof/>
                <w:webHidden/>
              </w:rPr>
              <w:tab/>
            </w:r>
            <w:r>
              <w:rPr>
                <w:noProof/>
                <w:webHidden/>
              </w:rPr>
              <w:fldChar w:fldCharType="begin"/>
            </w:r>
            <w:r>
              <w:rPr>
                <w:noProof/>
                <w:webHidden/>
              </w:rPr>
              <w:instrText xml:space="preserve"> PAGEREF _Toc461022038 \h </w:instrText>
            </w:r>
            <w:r>
              <w:rPr>
                <w:noProof/>
                <w:webHidden/>
              </w:rPr>
            </w:r>
            <w:r>
              <w:rPr>
                <w:noProof/>
                <w:webHidden/>
              </w:rPr>
              <w:fldChar w:fldCharType="separate"/>
            </w:r>
            <w:r>
              <w:rPr>
                <w:noProof/>
                <w:webHidden/>
              </w:rPr>
              <w:t>5</w:t>
            </w:r>
            <w:r>
              <w:rPr>
                <w:noProof/>
                <w:webHidden/>
              </w:rPr>
              <w:fldChar w:fldCharType="end"/>
            </w:r>
          </w:hyperlink>
        </w:p>
        <w:p w14:paraId="3B832C5E" w14:textId="77777777" w:rsidR="00D803AD" w:rsidRDefault="00D803AD">
          <w:pPr>
            <w:pStyle w:val="Obsah1"/>
            <w:tabs>
              <w:tab w:val="left" w:pos="440"/>
              <w:tab w:val="right" w:leader="dot" w:pos="9062"/>
            </w:tabs>
            <w:rPr>
              <w:rFonts w:eastAsiaTheme="minorEastAsia"/>
              <w:noProof/>
              <w:lang w:eastAsia="cs-CZ"/>
            </w:rPr>
          </w:pPr>
          <w:hyperlink w:anchor="_Toc461022039" w:history="1">
            <w:r w:rsidRPr="006B3BCC">
              <w:rPr>
                <w:rStyle w:val="Hypertextovodkaz"/>
                <w:caps/>
                <w:noProof/>
              </w:rPr>
              <w:t>9.</w:t>
            </w:r>
            <w:r>
              <w:rPr>
                <w:rFonts w:eastAsiaTheme="minorEastAsia"/>
                <w:noProof/>
                <w:lang w:eastAsia="cs-CZ"/>
              </w:rPr>
              <w:tab/>
            </w:r>
            <w:r w:rsidRPr="006B3BCC">
              <w:rPr>
                <w:rStyle w:val="Hypertextovodkaz"/>
                <w:caps/>
                <w:noProof/>
              </w:rPr>
              <w:t>Výstupy projektu</w:t>
            </w:r>
            <w:r>
              <w:rPr>
                <w:noProof/>
                <w:webHidden/>
              </w:rPr>
              <w:tab/>
            </w:r>
            <w:r>
              <w:rPr>
                <w:noProof/>
                <w:webHidden/>
              </w:rPr>
              <w:fldChar w:fldCharType="begin"/>
            </w:r>
            <w:r>
              <w:rPr>
                <w:noProof/>
                <w:webHidden/>
              </w:rPr>
              <w:instrText xml:space="preserve"> PAGEREF _Toc461022039 \h </w:instrText>
            </w:r>
            <w:r>
              <w:rPr>
                <w:noProof/>
                <w:webHidden/>
              </w:rPr>
            </w:r>
            <w:r>
              <w:rPr>
                <w:noProof/>
                <w:webHidden/>
              </w:rPr>
              <w:fldChar w:fldCharType="separate"/>
            </w:r>
            <w:r>
              <w:rPr>
                <w:noProof/>
                <w:webHidden/>
              </w:rPr>
              <w:t>5</w:t>
            </w:r>
            <w:r>
              <w:rPr>
                <w:noProof/>
                <w:webHidden/>
              </w:rPr>
              <w:fldChar w:fldCharType="end"/>
            </w:r>
          </w:hyperlink>
        </w:p>
        <w:p w14:paraId="3249E326" w14:textId="77777777" w:rsidR="00D803AD" w:rsidRDefault="00D803AD">
          <w:pPr>
            <w:pStyle w:val="Obsah1"/>
            <w:tabs>
              <w:tab w:val="left" w:pos="660"/>
              <w:tab w:val="right" w:leader="dot" w:pos="9062"/>
            </w:tabs>
            <w:rPr>
              <w:rFonts w:eastAsiaTheme="minorEastAsia"/>
              <w:noProof/>
              <w:lang w:eastAsia="cs-CZ"/>
            </w:rPr>
          </w:pPr>
          <w:hyperlink w:anchor="_Toc461022040" w:history="1">
            <w:r w:rsidRPr="006B3BCC">
              <w:rPr>
                <w:rStyle w:val="Hypertextovodkaz"/>
                <w:caps/>
                <w:noProof/>
              </w:rPr>
              <w:t>10.</w:t>
            </w:r>
            <w:r>
              <w:rPr>
                <w:rFonts w:eastAsiaTheme="minorEastAsia"/>
                <w:noProof/>
                <w:lang w:eastAsia="cs-CZ"/>
              </w:rPr>
              <w:tab/>
            </w:r>
            <w:r w:rsidRPr="006B3BCC">
              <w:rPr>
                <w:rStyle w:val="Hypertextovodkaz"/>
                <w:caps/>
                <w:noProof/>
              </w:rPr>
              <w:t>Připravenost projektu k realizaci</w:t>
            </w:r>
            <w:r>
              <w:rPr>
                <w:noProof/>
                <w:webHidden/>
              </w:rPr>
              <w:tab/>
            </w:r>
            <w:r>
              <w:rPr>
                <w:noProof/>
                <w:webHidden/>
              </w:rPr>
              <w:fldChar w:fldCharType="begin"/>
            </w:r>
            <w:r>
              <w:rPr>
                <w:noProof/>
                <w:webHidden/>
              </w:rPr>
              <w:instrText xml:space="preserve"> PAGEREF _Toc461022040 \h </w:instrText>
            </w:r>
            <w:r>
              <w:rPr>
                <w:noProof/>
                <w:webHidden/>
              </w:rPr>
            </w:r>
            <w:r>
              <w:rPr>
                <w:noProof/>
                <w:webHidden/>
              </w:rPr>
              <w:fldChar w:fldCharType="separate"/>
            </w:r>
            <w:r>
              <w:rPr>
                <w:noProof/>
                <w:webHidden/>
              </w:rPr>
              <w:t>5</w:t>
            </w:r>
            <w:r>
              <w:rPr>
                <w:noProof/>
                <w:webHidden/>
              </w:rPr>
              <w:fldChar w:fldCharType="end"/>
            </w:r>
          </w:hyperlink>
        </w:p>
        <w:p w14:paraId="579BE9D7" w14:textId="77777777" w:rsidR="00D803AD" w:rsidRDefault="00D803AD">
          <w:pPr>
            <w:pStyle w:val="Obsah1"/>
            <w:tabs>
              <w:tab w:val="left" w:pos="660"/>
              <w:tab w:val="right" w:leader="dot" w:pos="9062"/>
            </w:tabs>
            <w:rPr>
              <w:rFonts w:eastAsiaTheme="minorEastAsia"/>
              <w:noProof/>
              <w:lang w:eastAsia="cs-CZ"/>
            </w:rPr>
          </w:pPr>
          <w:hyperlink w:anchor="_Toc461022041" w:history="1">
            <w:r w:rsidRPr="006B3BCC">
              <w:rPr>
                <w:rStyle w:val="Hypertextovodkaz"/>
                <w:caps/>
                <w:noProof/>
              </w:rPr>
              <w:t>11.</w:t>
            </w:r>
            <w:r>
              <w:rPr>
                <w:rFonts w:eastAsiaTheme="minorEastAsia"/>
                <w:noProof/>
                <w:lang w:eastAsia="cs-CZ"/>
              </w:rPr>
              <w:tab/>
            </w:r>
            <w:r w:rsidRPr="006B3BCC">
              <w:rPr>
                <w:rStyle w:val="Hypertextovodkaz"/>
                <w:noProof/>
              </w:rPr>
              <w:t>ZPŮSOB STANOVENÍ CEN DO ROZPOČTU PROJEKTU</w:t>
            </w:r>
            <w:r>
              <w:rPr>
                <w:noProof/>
                <w:webHidden/>
              </w:rPr>
              <w:tab/>
            </w:r>
            <w:r>
              <w:rPr>
                <w:noProof/>
                <w:webHidden/>
              </w:rPr>
              <w:fldChar w:fldCharType="begin"/>
            </w:r>
            <w:r>
              <w:rPr>
                <w:noProof/>
                <w:webHidden/>
              </w:rPr>
              <w:instrText xml:space="preserve"> PAGEREF _Toc461022041 \h </w:instrText>
            </w:r>
            <w:r>
              <w:rPr>
                <w:noProof/>
                <w:webHidden/>
              </w:rPr>
            </w:r>
            <w:r>
              <w:rPr>
                <w:noProof/>
                <w:webHidden/>
              </w:rPr>
              <w:fldChar w:fldCharType="separate"/>
            </w:r>
            <w:r>
              <w:rPr>
                <w:noProof/>
                <w:webHidden/>
              </w:rPr>
              <w:t>6</w:t>
            </w:r>
            <w:r>
              <w:rPr>
                <w:noProof/>
                <w:webHidden/>
              </w:rPr>
              <w:fldChar w:fldCharType="end"/>
            </w:r>
          </w:hyperlink>
        </w:p>
        <w:p w14:paraId="1366D06C" w14:textId="77777777" w:rsidR="00D803AD" w:rsidRDefault="00D803AD">
          <w:pPr>
            <w:pStyle w:val="Obsah1"/>
            <w:tabs>
              <w:tab w:val="left" w:pos="660"/>
              <w:tab w:val="right" w:leader="dot" w:pos="9062"/>
            </w:tabs>
            <w:rPr>
              <w:rFonts w:eastAsiaTheme="minorEastAsia"/>
              <w:noProof/>
              <w:lang w:eastAsia="cs-CZ"/>
            </w:rPr>
          </w:pPr>
          <w:hyperlink w:anchor="_Toc461022042" w:history="1">
            <w:r w:rsidRPr="006B3BCC">
              <w:rPr>
                <w:rStyle w:val="Hypertextovodkaz"/>
                <w:caps/>
                <w:noProof/>
              </w:rPr>
              <w:t>12.</w:t>
            </w:r>
            <w:r>
              <w:rPr>
                <w:rFonts w:eastAsiaTheme="minorEastAsia"/>
                <w:noProof/>
                <w:lang w:eastAsia="cs-CZ"/>
              </w:rPr>
              <w:tab/>
            </w:r>
            <w:r w:rsidRPr="006B3BCC">
              <w:rPr>
                <w:rStyle w:val="Hypertextovodkaz"/>
                <w:caps/>
                <w:noProof/>
              </w:rPr>
              <w:t>Finanční analýza</w:t>
            </w:r>
            <w:r>
              <w:rPr>
                <w:noProof/>
                <w:webHidden/>
              </w:rPr>
              <w:tab/>
            </w:r>
            <w:r>
              <w:rPr>
                <w:noProof/>
                <w:webHidden/>
              </w:rPr>
              <w:fldChar w:fldCharType="begin"/>
            </w:r>
            <w:r>
              <w:rPr>
                <w:noProof/>
                <w:webHidden/>
              </w:rPr>
              <w:instrText xml:space="preserve"> PAGEREF _Toc461022042 \h </w:instrText>
            </w:r>
            <w:r>
              <w:rPr>
                <w:noProof/>
                <w:webHidden/>
              </w:rPr>
            </w:r>
            <w:r>
              <w:rPr>
                <w:noProof/>
                <w:webHidden/>
              </w:rPr>
              <w:fldChar w:fldCharType="separate"/>
            </w:r>
            <w:r>
              <w:rPr>
                <w:noProof/>
                <w:webHidden/>
              </w:rPr>
              <w:t>9</w:t>
            </w:r>
            <w:r>
              <w:rPr>
                <w:noProof/>
                <w:webHidden/>
              </w:rPr>
              <w:fldChar w:fldCharType="end"/>
            </w:r>
          </w:hyperlink>
        </w:p>
        <w:p w14:paraId="6A56879D" w14:textId="77777777" w:rsidR="00D803AD" w:rsidRDefault="00D803AD">
          <w:pPr>
            <w:pStyle w:val="Obsah1"/>
            <w:tabs>
              <w:tab w:val="left" w:pos="660"/>
              <w:tab w:val="right" w:leader="dot" w:pos="9062"/>
            </w:tabs>
            <w:rPr>
              <w:rFonts w:eastAsiaTheme="minorEastAsia"/>
              <w:noProof/>
              <w:lang w:eastAsia="cs-CZ"/>
            </w:rPr>
          </w:pPr>
          <w:hyperlink w:anchor="_Toc461022043" w:history="1">
            <w:r w:rsidRPr="006B3BCC">
              <w:rPr>
                <w:rStyle w:val="Hypertextovodkaz"/>
                <w:caps/>
                <w:noProof/>
              </w:rPr>
              <w:t>13.</w:t>
            </w:r>
            <w:r>
              <w:rPr>
                <w:rFonts w:eastAsiaTheme="minorEastAsia"/>
                <w:noProof/>
                <w:lang w:eastAsia="cs-CZ"/>
              </w:rPr>
              <w:tab/>
            </w:r>
            <w:r w:rsidRPr="006B3BCC">
              <w:rPr>
                <w:rStyle w:val="Hypertextovodkaz"/>
                <w:caps/>
                <w:noProof/>
              </w:rPr>
              <w:t>Analýza a řízení rizik</w:t>
            </w:r>
            <w:r>
              <w:rPr>
                <w:noProof/>
                <w:webHidden/>
              </w:rPr>
              <w:tab/>
            </w:r>
            <w:r>
              <w:rPr>
                <w:noProof/>
                <w:webHidden/>
              </w:rPr>
              <w:fldChar w:fldCharType="begin"/>
            </w:r>
            <w:r>
              <w:rPr>
                <w:noProof/>
                <w:webHidden/>
              </w:rPr>
              <w:instrText xml:space="preserve"> PAGEREF _Toc461022043 \h </w:instrText>
            </w:r>
            <w:r>
              <w:rPr>
                <w:noProof/>
                <w:webHidden/>
              </w:rPr>
            </w:r>
            <w:r>
              <w:rPr>
                <w:noProof/>
                <w:webHidden/>
              </w:rPr>
              <w:fldChar w:fldCharType="separate"/>
            </w:r>
            <w:r>
              <w:rPr>
                <w:noProof/>
                <w:webHidden/>
              </w:rPr>
              <w:t>9</w:t>
            </w:r>
            <w:r>
              <w:rPr>
                <w:noProof/>
                <w:webHidden/>
              </w:rPr>
              <w:fldChar w:fldCharType="end"/>
            </w:r>
          </w:hyperlink>
        </w:p>
        <w:p w14:paraId="149D7DB6" w14:textId="77777777" w:rsidR="00D803AD" w:rsidRDefault="00D803AD">
          <w:pPr>
            <w:pStyle w:val="Obsah1"/>
            <w:tabs>
              <w:tab w:val="left" w:pos="660"/>
              <w:tab w:val="right" w:leader="dot" w:pos="9062"/>
            </w:tabs>
            <w:rPr>
              <w:rFonts w:eastAsiaTheme="minorEastAsia"/>
              <w:noProof/>
              <w:lang w:eastAsia="cs-CZ"/>
            </w:rPr>
          </w:pPr>
          <w:hyperlink w:anchor="_Toc461022044" w:history="1">
            <w:r w:rsidRPr="006B3BCC">
              <w:rPr>
                <w:rStyle w:val="Hypertextovodkaz"/>
                <w:caps/>
                <w:noProof/>
              </w:rPr>
              <w:t>14.</w:t>
            </w:r>
            <w:r>
              <w:rPr>
                <w:rFonts w:eastAsiaTheme="minorEastAsia"/>
                <w:noProof/>
                <w:lang w:eastAsia="cs-CZ"/>
              </w:rPr>
              <w:tab/>
            </w:r>
            <w:r w:rsidRPr="006B3BCC">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_Toc461022044 \h </w:instrText>
            </w:r>
            <w:r>
              <w:rPr>
                <w:noProof/>
                <w:webHidden/>
              </w:rPr>
            </w:r>
            <w:r>
              <w:rPr>
                <w:noProof/>
                <w:webHidden/>
              </w:rPr>
              <w:fldChar w:fldCharType="separate"/>
            </w:r>
            <w:r>
              <w:rPr>
                <w:noProof/>
                <w:webHidden/>
              </w:rPr>
              <w:t>10</w:t>
            </w:r>
            <w:r>
              <w:rPr>
                <w:noProof/>
                <w:webHidden/>
              </w:rPr>
              <w:fldChar w:fldCharType="end"/>
            </w:r>
          </w:hyperlink>
        </w:p>
        <w:p w14:paraId="78EC6344" w14:textId="77777777" w:rsidR="00D803AD" w:rsidRDefault="00D803AD">
          <w:pPr>
            <w:pStyle w:val="Obsah1"/>
            <w:tabs>
              <w:tab w:val="left" w:pos="660"/>
              <w:tab w:val="right" w:leader="dot" w:pos="9062"/>
            </w:tabs>
            <w:rPr>
              <w:rFonts w:eastAsiaTheme="minorEastAsia"/>
              <w:noProof/>
              <w:lang w:eastAsia="cs-CZ"/>
            </w:rPr>
          </w:pPr>
          <w:hyperlink w:anchor="_Toc461022045" w:history="1">
            <w:r w:rsidRPr="006B3BCC">
              <w:rPr>
                <w:rStyle w:val="Hypertextovodkaz"/>
                <w:caps/>
                <w:noProof/>
              </w:rPr>
              <w:t>15.</w:t>
            </w:r>
            <w:r>
              <w:rPr>
                <w:rFonts w:eastAsiaTheme="minorEastAsia"/>
                <w:noProof/>
                <w:lang w:eastAsia="cs-CZ"/>
              </w:rPr>
              <w:tab/>
            </w:r>
            <w:r w:rsidRPr="006B3BCC">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_Toc461022045 \h </w:instrText>
            </w:r>
            <w:r>
              <w:rPr>
                <w:noProof/>
                <w:webHidden/>
              </w:rPr>
            </w:r>
            <w:r>
              <w:rPr>
                <w:noProof/>
                <w:webHidden/>
              </w:rPr>
              <w:fldChar w:fldCharType="separate"/>
            </w:r>
            <w:r>
              <w:rPr>
                <w:noProof/>
                <w:webHidden/>
              </w:rPr>
              <w:t>11</w:t>
            </w:r>
            <w:r>
              <w:rPr>
                <w:noProof/>
                <w:webHidden/>
              </w:rPr>
              <w:fldChar w:fldCharType="end"/>
            </w:r>
          </w:hyperlink>
        </w:p>
        <w:p w14:paraId="1FA911BB" w14:textId="77777777" w:rsidR="00D803AD" w:rsidRDefault="00D803AD">
          <w:pPr>
            <w:pStyle w:val="Obsah1"/>
            <w:tabs>
              <w:tab w:val="left" w:pos="660"/>
              <w:tab w:val="right" w:leader="dot" w:pos="9062"/>
            </w:tabs>
            <w:rPr>
              <w:rFonts w:eastAsiaTheme="minorEastAsia"/>
              <w:noProof/>
              <w:lang w:eastAsia="cs-CZ"/>
            </w:rPr>
          </w:pPr>
          <w:hyperlink w:anchor="_Toc461022046" w:history="1">
            <w:r w:rsidRPr="006B3BCC">
              <w:rPr>
                <w:rStyle w:val="Hypertextovodkaz"/>
                <w:caps/>
                <w:noProof/>
              </w:rPr>
              <w:t>16.</w:t>
            </w:r>
            <w:r>
              <w:rPr>
                <w:rFonts w:eastAsiaTheme="minorEastAsia"/>
                <w:noProof/>
                <w:lang w:eastAsia="cs-CZ"/>
              </w:rPr>
              <w:tab/>
            </w:r>
            <w:r w:rsidRPr="006B3BCC">
              <w:rPr>
                <w:rStyle w:val="Hypertextovodkaz"/>
                <w:caps/>
                <w:noProof/>
              </w:rPr>
              <w:t>uPOZORNĚNÍ</w:t>
            </w:r>
            <w:r>
              <w:rPr>
                <w:noProof/>
                <w:webHidden/>
              </w:rPr>
              <w:tab/>
            </w:r>
            <w:r>
              <w:rPr>
                <w:noProof/>
                <w:webHidden/>
              </w:rPr>
              <w:fldChar w:fldCharType="begin"/>
            </w:r>
            <w:r>
              <w:rPr>
                <w:noProof/>
                <w:webHidden/>
              </w:rPr>
              <w:instrText xml:space="preserve"> PAGEREF _Toc461022046 \h </w:instrText>
            </w:r>
            <w:r>
              <w:rPr>
                <w:noProof/>
                <w:webHidden/>
              </w:rPr>
            </w:r>
            <w:r>
              <w:rPr>
                <w:noProof/>
                <w:webHidden/>
              </w:rPr>
              <w:fldChar w:fldCharType="separate"/>
            </w:r>
            <w:r>
              <w:rPr>
                <w:noProof/>
                <w:webHidden/>
              </w:rPr>
              <w:t>11</w:t>
            </w:r>
            <w:r>
              <w:rPr>
                <w:noProof/>
                <w:webHidden/>
              </w:rPr>
              <w:fldChar w:fldCharType="end"/>
            </w:r>
          </w:hyperlink>
        </w:p>
        <w:p w14:paraId="421747F4" w14:textId="18102659"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5" w:name="_Toc461022031"/>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6" w:name="_Toc461022032"/>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7" w:name="_Toc461022033"/>
      <w:r w:rsidRPr="004A323F">
        <w:rPr>
          <w:caps/>
        </w:rPr>
        <w:t>Charakteristika projektu a jeho soulad s programem</w:t>
      </w:r>
      <w:bookmarkEnd w:id="7"/>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74E0A341" w14:textId="77777777" w:rsidR="008E1B81" w:rsidRDefault="008E1B81" w:rsidP="008E1B81">
      <w:pPr>
        <w:pStyle w:val="Odstavecseseznamem"/>
        <w:numPr>
          <w:ilvl w:val="0"/>
          <w:numId w:val="4"/>
        </w:numPr>
        <w:jc w:val="both"/>
      </w:pPr>
      <w:r>
        <w:t>Identifikace dopadů a přínosů projektu s důrazem na popis dopadů na cílové skupiny.</w:t>
      </w:r>
    </w:p>
    <w:p w14:paraId="2617DBB3" w14:textId="77777777" w:rsidR="008E1B81" w:rsidRDefault="008E1B81" w:rsidP="008E1B81">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12CF8616"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 xml:space="preserve">4.2.5, a </w:t>
      </w:r>
      <w:r w:rsidR="00D803AD" w:rsidRPr="007879C5">
        <w:t>4.6 (uvedení</w:t>
      </w:r>
      <w:r w:rsidR="00AD24B8">
        <w:t xml:space="preserve"> relevantních opatření)</w:t>
      </w:r>
    </w:p>
    <w:p w14:paraId="2F9E19E4" w14:textId="77777777" w:rsidR="00B62243" w:rsidRDefault="00B62243" w:rsidP="00B62243">
      <w:pPr>
        <w:pStyle w:val="Odstavecseseznamem"/>
        <w:jc w:val="both"/>
      </w:pPr>
    </w:p>
    <w:p w14:paraId="6A1132F3" w14:textId="77777777" w:rsidR="00B8276E" w:rsidRPr="004A323F" w:rsidRDefault="00B8276E" w:rsidP="00E17859">
      <w:pPr>
        <w:pStyle w:val="Nadpis1"/>
        <w:numPr>
          <w:ilvl w:val="0"/>
          <w:numId w:val="14"/>
        </w:numPr>
        <w:ind w:left="851" w:hanging="567"/>
        <w:jc w:val="both"/>
        <w:rPr>
          <w:caps/>
        </w:rPr>
      </w:pPr>
      <w:bookmarkStart w:id="8" w:name="_Toc461022034"/>
      <w:r w:rsidRPr="004A323F">
        <w:rPr>
          <w:caps/>
        </w:rPr>
        <w:t>Podrobný popis projektu</w:t>
      </w:r>
      <w:bookmarkEnd w:id="8"/>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2DC00F94"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3C225956"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lastRenderedPageBreak/>
        <w:t xml:space="preserve">v případě nákupu </w:t>
      </w:r>
      <w:proofErr w:type="spellStart"/>
      <w:r>
        <w:t>nízkoemisních</w:t>
      </w:r>
      <w:proofErr w:type="spellEnd"/>
      <w:r>
        <w:t xml:space="preserve">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70763995" w14:textId="77777777" w:rsidR="00C23F14" w:rsidRPr="00E0488A" w:rsidRDefault="00C23F14" w:rsidP="00E17859">
      <w:pPr>
        <w:pStyle w:val="Nadpis1"/>
        <w:numPr>
          <w:ilvl w:val="0"/>
          <w:numId w:val="14"/>
        </w:numPr>
        <w:ind w:left="851" w:hanging="567"/>
        <w:jc w:val="both"/>
        <w:rPr>
          <w:caps/>
        </w:rPr>
      </w:pPr>
      <w:bookmarkStart w:id="9" w:name="_Toc461022035"/>
      <w:r w:rsidRPr="00E0488A">
        <w:rPr>
          <w:caps/>
        </w:rPr>
        <w:t>Management projektu</w:t>
      </w:r>
      <w:r w:rsidR="006E5C82" w:rsidRPr="00E0488A">
        <w:rPr>
          <w:caps/>
        </w:rPr>
        <w:t xml:space="preserve"> a řízení </w:t>
      </w:r>
      <w:r w:rsidR="00DC247C" w:rsidRPr="00E0488A">
        <w:rPr>
          <w:caps/>
        </w:rPr>
        <w:t>lidských zdrojů</w:t>
      </w:r>
      <w:bookmarkEnd w:id="9"/>
    </w:p>
    <w:p w14:paraId="1796AE78" w14:textId="77777777" w:rsidR="008E1B81" w:rsidRDefault="008E1B81" w:rsidP="008E1B81">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B00092" w:rsidR="00E0488A" w:rsidRPr="007A4B2D" w:rsidRDefault="00E0488A" w:rsidP="00865708">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8E1B81">
        <w:t>, apod</w:t>
      </w:r>
      <w:r w:rsidRPr="007A4B2D">
        <w:t xml:space="preserve">. </w:t>
      </w:r>
    </w:p>
    <w:p w14:paraId="3A30E0D2" w14:textId="453A7F95" w:rsidR="00AD24B8" w:rsidRDefault="00AD24B8" w:rsidP="00D803AD">
      <w:pPr>
        <w:pStyle w:val="Odstavecseseznamem"/>
        <w:jc w:val="both"/>
      </w:pPr>
    </w:p>
    <w:p w14:paraId="5165D297" w14:textId="77777777" w:rsidR="005E5868" w:rsidRPr="004A323F" w:rsidRDefault="005E5868" w:rsidP="00E17859">
      <w:pPr>
        <w:pStyle w:val="Nadpis1"/>
        <w:numPr>
          <w:ilvl w:val="0"/>
          <w:numId w:val="14"/>
        </w:numPr>
        <w:ind w:left="851" w:hanging="567"/>
        <w:jc w:val="both"/>
        <w:rPr>
          <w:caps/>
        </w:rPr>
      </w:pPr>
      <w:bookmarkStart w:id="10" w:name="_Toc461022036"/>
      <w:r w:rsidRPr="004A323F">
        <w:rPr>
          <w:caps/>
        </w:rPr>
        <w:t>Technické a technologické řešení projektu</w:t>
      </w:r>
      <w:bookmarkEnd w:id="10"/>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 xml:space="preserve">plnění emisních limitů minimálně normy Euro 6 u </w:t>
      </w:r>
      <w:proofErr w:type="spellStart"/>
      <w:r w:rsidR="00017324" w:rsidRPr="005571F0">
        <w:t>nízkoemisních</w:t>
      </w:r>
      <w:proofErr w:type="spellEnd"/>
      <w:r w:rsidR="00017324" w:rsidRPr="005571F0">
        <w:t xml:space="preserve">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11" w:name="_Toc461022037"/>
      <w:r w:rsidRPr="004A323F">
        <w:rPr>
          <w:caps/>
        </w:rPr>
        <w:t>Vliv projektu na životní prostředí</w:t>
      </w:r>
      <w:bookmarkEnd w:id="11"/>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552148C5" w:rsidR="009C4223" w:rsidRDefault="002725DE" w:rsidP="000A7086">
      <w:pPr>
        <w:pStyle w:val="Odstavecseseznamem"/>
        <w:numPr>
          <w:ilvl w:val="1"/>
          <w:numId w:val="4"/>
        </w:numPr>
      </w:pPr>
      <w:r>
        <w:t xml:space="preserve">postup </w:t>
      </w:r>
      <w:r w:rsidR="000A7086">
        <w:t>výpočt</w:t>
      </w:r>
      <w:r>
        <w:t>u</w:t>
      </w:r>
      <w:r w:rsidR="000A7086">
        <w:t xml:space="preserve"> výchozí 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1F4DFE59" w14:textId="4A117829" w:rsidR="004B0724" w:rsidRDefault="002725DE" w:rsidP="000A7086">
      <w:pPr>
        <w:pStyle w:val="Odstavecseseznamem"/>
        <w:numPr>
          <w:ilvl w:val="1"/>
          <w:numId w:val="4"/>
        </w:numPr>
      </w:pPr>
      <w:r>
        <w:lastRenderedPageBreak/>
        <w:t xml:space="preserve">postup </w:t>
      </w:r>
      <w:r w:rsidR="009C4223">
        <w:t>výpočt</w:t>
      </w:r>
      <w:r>
        <w:t>u</w:t>
      </w:r>
      <w:r w:rsidR="009C4223">
        <w:t xml:space="preserve"> cílové hodnoty </w:t>
      </w:r>
      <w:r w:rsidR="009C4223" w:rsidRPr="000A7086">
        <w:t>indikátoru 3 61 11</w:t>
      </w:r>
      <w:r w:rsidR="009C4223">
        <w:t xml:space="preserve"> M</w:t>
      </w:r>
      <w:r w:rsidR="009C4223" w:rsidRPr="000A7086">
        <w:t>nožství emisí primárních částic a prekurzorů sekundárních částic</w:t>
      </w:r>
      <w:r w:rsidR="009C4223">
        <w:t xml:space="preserve"> v rámci podpořených projektů dle pravidel uvedených v příloze č. 3 Specifických pravidel</w:t>
      </w:r>
      <w:r>
        <w:t>,</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03D4B0C"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266EFF8B" w:rsidR="00D13B59" w:rsidRDefault="002725DE" w:rsidP="00D13B59">
      <w:pPr>
        <w:pStyle w:val="Odstavecseseznamem"/>
        <w:numPr>
          <w:ilvl w:val="1"/>
          <w:numId w:val="4"/>
        </w:numPr>
      </w:pPr>
      <w:r>
        <w:t xml:space="preserve">postup </w:t>
      </w:r>
      <w:r w:rsidR="00D13B59">
        <w:t>výpočt</w:t>
      </w:r>
      <w:r>
        <w:t>u</w:t>
      </w:r>
      <w:r w:rsidR="00D13B59">
        <w:t xml:space="preserve"> výchozí 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07ACF653" w14:textId="1F7C5AB6" w:rsidR="002725DE" w:rsidRDefault="002725DE" w:rsidP="00D13B59">
      <w:pPr>
        <w:pStyle w:val="Odstavecseseznamem"/>
        <w:numPr>
          <w:ilvl w:val="1"/>
          <w:numId w:val="4"/>
        </w:numPr>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7A74F5FB" w:rsidR="006E5C82" w:rsidRPr="004A323F" w:rsidRDefault="006E5C82" w:rsidP="00E17859">
      <w:pPr>
        <w:pStyle w:val="Nadpis1"/>
        <w:numPr>
          <w:ilvl w:val="0"/>
          <w:numId w:val="14"/>
        </w:numPr>
        <w:ind w:left="851" w:hanging="567"/>
        <w:jc w:val="both"/>
        <w:rPr>
          <w:caps/>
        </w:rPr>
      </w:pPr>
      <w:bookmarkStart w:id="12" w:name="_Toc461022038"/>
      <w:r w:rsidRPr="004A323F">
        <w:rPr>
          <w:caps/>
        </w:rPr>
        <w:t>Dlouhodobý majetek</w:t>
      </w:r>
      <w:bookmarkEnd w:id="12"/>
      <w:r w:rsidRPr="004A323F">
        <w:rPr>
          <w:caps/>
        </w:rPr>
        <w:t xml:space="preserve"> </w:t>
      </w:r>
    </w:p>
    <w:p w14:paraId="504F136B"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4A8C239" w14:textId="4B9678B1" w:rsidR="006E5C82" w:rsidRPr="003A442E" w:rsidRDefault="006E5C82" w:rsidP="008A3E67">
      <w:pPr>
        <w:pStyle w:val="Odstavecseseznamem"/>
        <w:numPr>
          <w:ilvl w:val="1"/>
          <w:numId w:val="4"/>
        </w:numPr>
        <w:jc w:val="both"/>
      </w:pPr>
      <w:r w:rsidRPr="003A442E">
        <w:t>investiční dlouhodobý majetek (</w:t>
      </w:r>
      <w:r w:rsidR="00831AE2">
        <w:t>vozidla</w:t>
      </w:r>
      <w:r w:rsidR="002B6E5A">
        <w:t>)</w:t>
      </w:r>
      <w:r w:rsidRPr="003A442E">
        <w:t>,</w:t>
      </w:r>
    </w:p>
    <w:p w14:paraId="148EEDB5"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A4207E1" w14:textId="010B3D17" w:rsidR="006E5C82" w:rsidRPr="003A442E" w:rsidRDefault="006E5C82" w:rsidP="008A3E67">
      <w:pPr>
        <w:pStyle w:val="Odstavecseseznamem"/>
        <w:numPr>
          <w:ilvl w:val="1"/>
          <w:numId w:val="4"/>
        </w:numPr>
        <w:jc w:val="both"/>
      </w:pPr>
      <w:r w:rsidRPr="003A442E">
        <w:t>životnost majetku.</w:t>
      </w:r>
    </w:p>
    <w:p w14:paraId="62351562" w14:textId="2B9E04DB" w:rsidR="006E5C82" w:rsidRPr="00502C21" w:rsidRDefault="006E5C82" w:rsidP="00D803AD">
      <w:pPr>
        <w:pStyle w:val="Odstavecseseznamem"/>
        <w:jc w:val="both"/>
      </w:pPr>
    </w:p>
    <w:p w14:paraId="31A1B6F0" w14:textId="1112A467" w:rsidR="00502C21" w:rsidRPr="00502C21" w:rsidRDefault="00502C21" w:rsidP="00502C21">
      <w:pPr>
        <w:pStyle w:val="Odstavecseseznamem"/>
        <w:numPr>
          <w:ilvl w:val="0"/>
          <w:numId w:val="4"/>
        </w:numPr>
        <w:jc w:val="both"/>
      </w:pPr>
      <w:r w:rsidRPr="00502C21">
        <w:t>Dlouhodobý investiční majetek vstupující do projektu</w:t>
      </w:r>
      <w:r>
        <w:t xml:space="preserve"> (vlastní, najatý, vypůjčený)</w:t>
      </w:r>
      <w:r w:rsidRPr="00502C21">
        <w:t>,</w:t>
      </w:r>
      <w:r>
        <w:t xml:space="preserve"> </w:t>
      </w:r>
      <w:r w:rsidRPr="00502C21">
        <w:t>pokud je relevantní.</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3" w:name="_Toc461022039"/>
      <w:r w:rsidRPr="004A323F">
        <w:rPr>
          <w:rFonts w:eastAsiaTheme="minorHAnsi"/>
          <w:caps/>
        </w:rPr>
        <w:t>Výstupy projektu</w:t>
      </w:r>
      <w:bookmarkEnd w:id="13"/>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14" w:name="_Toc461022040"/>
      <w:r w:rsidRPr="004A323F">
        <w:rPr>
          <w:caps/>
        </w:rPr>
        <w:t>Připravenost projektu k realizaci</w:t>
      </w:r>
      <w:bookmarkEnd w:id="14"/>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0D3C87F"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4660288" w14:textId="77777777" w:rsidR="00482EA1" w:rsidRPr="00482EA1" w:rsidRDefault="00482EA1" w:rsidP="008A3E67">
      <w:pPr>
        <w:pStyle w:val="Odstavecseseznamem"/>
        <w:numPr>
          <w:ilvl w:val="0"/>
          <w:numId w:val="4"/>
        </w:numPr>
        <w:jc w:val="both"/>
      </w:pPr>
      <w:r w:rsidRPr="00482EA1">
        <w:t>Organizační připravenost:</w:t>
      </w:r>
    </w:p>
    <w:p w14:paraId="487BD7E0" w14:textId="77777777" w:rsidR="00482EA1" w:rsidRPr="00482EA1" w:rsidRDefault="00482EA1" w:rsidP="008A3E67">
      <w:pPr>
        <w:pStyle w:val="Odstavecseseznamem"/>
        <w:numPr>
          <w:ilvl w:val="1"/>
          <w:numId w:val="4"/>
        </w:numPr>
        <w:jc w:val="both"/>
      </w:pPr>
      <w:r w:rsidRPr="00482EA1">
        <w:t>organizační model pro přípravu projektu,</w:t>
      </w:r>
    </w:p>
    <w:p w14:paraId="52157641" w14:textId="77777777" w:rsidR="00482EA1" w:rsidRPr="00482EA1" w:rsidRDefault="00482EA1" w:rsidP="008A3E67">
      <w:pPr>
        <w:pStyle w:val="Odstavecseseznamem"/>
        <w:numPr>
          <w:ilvl w:val="1"/>
          <w:numId w:val="4"/>
        </w:numPr>
        <w:jc w:val="both"/>
      </w:pPr>
      <w:r w:rsidRPr="00482EA1">
        <w:t>organizační model pro realizaci projektu,</w:t>
      </w:r>
    </w:p>
    <w:p w14:paraId="1C667934" w14:textId="77777777" w:rsidR="00482EA1" w:rsidRPr="00DC2391" w:rsidRDefault="00482EA1" w:rsidP="008A3E67">
      <w:pPr>
        <w:pStyle w:val="Odstavecseseznamem"/>
        <w:numPr>
          <w:ilvl w:val="1"/>
          <w:numId w:val="4"/>
        </w:numPr>
        <w:jc w:val="both"/>
      </w:pPr>
      <w:r w:rsidRPr="00DC2391">
        <w:t>organizační model pro provozní fázi projektu,</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72D7D39E"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8E1B81">
        <w:t>.</w:t>
      </w:r>
    </w:p>
    <w:p w14:paraId="71A3457D" w14:textId="77777777" w:rsidR="00E0488A" w:rsidRPr="002C2C2F" w:rsidRDefault="00E0488A" w:rsidP="00E0488A">
      <w:pPr>
        <w:pStyle w:val="Nadpis1"/>
        <w:numPr>
          <w:ilvl w:val="0"/>
          <w:numId w:val="14"/>
        </w:numPr>
        <w:ind w:left="851" w:hanging="567"/>
        <w:jc w:val="both"/>
        <w:rPr>
          <w:rFonts w:eastAsiaTheme="minorHAnsi"/>
          <w:caps/>
        </w:rPr>
      </w:pPr>
      <w:bookmarkStart w:id="15" w:name="_Toc461022041"/>
      <w:r>
        <w:lastRenderedPageBreak/>
        <w:t>ZPŮSOB STANOVENÍ CEN DO ROZPOČTU PROJEKTU</w:t>
      </w:r>
      <w:bookmarkEnd w:id="15"/>
    </w:p>
    <w:p w14:paraId="08D21CDD" w14:textId="77777777" w:rsidR="008E1B81" w:rsidRPr="00084F90" w:rsidRDefault="008E1B81" w:rsidP="008E1B81">
      <w:pPr>
        <w:ind w:left="284"/>
        <w:jc w:val="both"/>
      </w:pPr>
      <w:r w:rsidRPr="00084F90">
        <w:t>Ceny do rozpočtu projektu se dokládají následujícími způsoby:</w:t>
      </w:r>
    </w:p>
    <w:p w14:paraId="7FAA03C0" w14:textId="77777777" w:rsidR="008E1B81" w:rsidRPr="0055621D" w:rsidRDefault="008E1B81" w:rsidP="008E1B81">
      <w:pPr>
        <w:pStyle w:val="Odstavecseseznamem"/>
        <w:numPr>
          <w:ilvl w:val="0"/>
          <w:numId w:val="39"/>
        </w:numPr>
        <w:jc w:val="both"/>
      </w:pPr>
      <w:r w:rsidRPr="0055621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385EE92B" w14:textId="77777777" w:rsidR="008E1B81" w:rsidRPr="0055621D" w:rsidRDefault="008E1B81" w:rsidP="008E1B81">
      <w:pPr>
        <w:pStyle w:val="Odstavecseseznamem"/>
        <w:spacing w:after="0"/>
        <w:jc w:val="both"/>
      </w:pPr>
      <w:r w:rsidRPr="0055621D">
        <w:t>V případě, že zadávací/výběrové řízení bylo zahájeno a nebylo ukončeno (dále také „zahájená zakázka“), žadatel předkládá stanovení cen do rozpočtu na základě výsledku stanovení předpokládané hodnoty zakázky.</w:t>
      </w:r>
    </w:p>
    <w:p w14:paraId="2C23D962" w14:textId="77777777" w:rsidR="008E1B81" w:rsidRPr="00084F90" w:rsidRDefault="008E1B81" w:rsidP="008E1B81">
      <w:pPr>
        <w:ind w:left="720"/>
        <w:contextualSpacing/>
        <w:jc w:val="both"/>
      </w:pPr>
      <w:r w:rsidRPr="0055621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r w:rsidRPr="00084F90">
        <w:t xml:space="preserve"> </w:t>
      </w:r>
    </w:p>
    <w:p w14:paraId="7657585E" w14:textId="77777777" w:rsidR="008E1B81" w:rsidRDefault="008E1B81" w:rsidP="008E1B81">
      <w:pPr>
        <w:numPr>
          <w:ilvl w:val="0"/>
          <w:numId w:val="39"/>
        </w:numPr>
        <w:contextualSpacing/>
        <w:jc w:val="both"/>
      </w:pPr>
      <w:r w:rsidRPr="0055621D">
        <w:t>V případě přímých nákupů od 100 000 Kč bez DPH žadatel překládá stanovení cen do rozpočtu projektu. Stanovení ceny přímých nákupů do 100 000 Kč bez DPH žadatel nepředkládá</w:t>
      </w:r>
      <w:r w:rsidRPr="00084F90">
        <w:t>.</w:t>
      </w:r>
    </w:p>
    <w:p w14:paraId="0FE61134" w14:textId="77777777" w:rsidR="008E1B81" w:rsidRPr="00084F90" w:rsidRDefault="008E1B81" w:rsidP="008E1B81">
      <w:pPr>
        <w:ind w:left="720"/>
        <w:contextualSpacing/>
        <w:jc w:val="both"/>
      </w:pPr>
    </w:p>
    <w:p w14:paraId="082E9F88" w14:textId="77777777" w:rsidR="008E1B81" w:rsidRPr="00084F90" w:rsidRDefault="008E1B81" w:rsidP="008E1B81">
      <w:pPr>
        <w:pStyle w:val="Odstavecseseznamem"/>
        <w:numPr>
          <w:ilvl w:val="0"/>
          <w:numId w:val="40"/>
        </w:numPr>
        <w:rPr>
          <w:b/>
        </w:rPr>
      </w:pPr>
      <w:r w:rsidRPr="00084F90">
        <w:rPr>
          <w:b/>
        </w:rPr>
        <w:t>Stanovení cen do rozpočtu projektu</w:t>
      </w:r>
    </w:p>
    <w:p w14:paraId="7FAADB40" w14:textId="77777777" w:rsidR="008E1B81" w:rsidRPr="0055621D" w:rsidRDefault="008E1B81" w:rsidP="008E1B81">
      <w:pPr>
        <w:pStyle w:val="Odstavecseseznamem"/>
        <w:numPr>
          <w:ilvl w:val="0"/>
          <w:numId w:val="38"/>
        </w:numPr>
        <w:jc w:val="both"/>
      </w:pPr>
      <w:r w:rsidRPr="0055621D">
        <w:t>Žadatel stanoví ceny do rozpočtu projektu za účelem zjištění předpokládané ceny způsobilých výdajů hlavních aktivit projektu u nezahájených zakázek a souhrnně jej popíše v této části studie proveditelnosti.</w:t>
      </w:r>
    </w:p>
    <w:p w14:paraId="58AA24F4" w14:textId="77777777" w:rsidR="008E1B81" w:rsidRPr="0055621D" w:rsidRDefault="008E1B81" w:rsidP="008E1B81">
      <w:pPr>
        <w:pStyle w:val="Odstavecseseznamem"/>
        <w:numPr>
          <w:ilvl w:val="0"/>
          <w:numId w:val="38"/>
        </w:numPr>
        <w:jc w:val="both"/>
      </w:pPr>
      <w:r w:rsidRPr="0055621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1258847A" w14:textId="77777777" w:rsidR="008E1B81" w:rsidRPr="0055621D" w:rsidRDefault="008E1B81" w:rsidP="008E1B81">
      <w:pPr>
        <w:pStyle w:val="Odstavecseseznamem"/>
        <w:numPr>
          <w:ilvl w:val="0"/>
          <w:numId w:val="38"/>
        </w:numPr>
        <w:jc w:val="both"/>
      </w:pPr>
      <w:r w:rsidRPr="0055621D">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68DEFC02" w14:textId="77777777" w:rsidR="008E1B81" w:rsidRPr="0055621D" w:rsidRDefault="008E1B81" w:rsidP="008E1B81">
      <w:pPr>
        <w:pStyle w:val="Odstavecseseznamem"/>
        <w:numPr>
          <w:ilvl w:val="1"/>
          <w:numId w:val="38"/>
        </w:numPr>
        <w:jc w:val="both"/>
      </w:pPr>
      <w:r w:rsidRPr="0055621D">
        <w:t>uváděná cenová úroveň je stále aktuální,</w:t>
      </w:r>
    </w:p>
    <w:p w14:paraId="4D76C1B3" w14:textId="77777777" w:rsidR="008E1B81" w:rsidRPr="0055621D" w:rsidRDefault="008E1B81" w:rsidP="008E1B81">
      <w:pPr>
        <w:pStyle w:val="Odstavecseseznamem"/>
        <w:numPr>
          <w:ilvl w:val="1"/>
          <w:numId w:val="38"/>
        </w:numPr>
        <w:jc w:val="both"/>
      </w:pPr>
      <w:r w:rsidRPr="0055621D">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5FF1DC39" w14:textId="77777777" w:rsidR="008E1B81" w:rsidRPr="0055621D" w:rsidRDefault="008E1B81" w:rsidP="008E1B81">
      <w:pPr>
        <w:pStyle w:val="Odstavecseseznamem"/>
        <w:numPr>
          <w:ilvl w:val="0"/>
          <w:numId w:val="38"/>
        </w:numPr>
        <w:jc w:val="both"/>
      </w:pPr>
      <w:r w:rsidRPr="0055621D">
        <w:t xml:space="preserve">Předpokládané ceny spadající do </w:t>
      </w:r>
      <w:r w:rsidRPr="0055621D">
        <w:rPr>
          <w:b/>
        </w:rPr>
        <w:t>hlavních aktivit projektu</w:t>
      </w:r>
      <w:r w:rsidRPr="0055621D">
        <w:t xml:space="preserve"> může žadatel stanovit:</w:t>
      </w:r>
    </w:p>
    <w:p w14:paraId="5C9A5BA2" w14:textId="77777777" w:rsidR="008E1B81" w:rsidRPr="0055621D" w:rsidRDefault="008E1B81" w:rsidP="008E1B81">
      <w:pPr>
        <w:pStyle w:val="Odstavecseseznamem"/>
        <w:numPr>
          <w:ilvl w:val="1"/>
          <w:numId w:val="38"/>
        </w:numPr>
        <w:jc w:val="both"/>
      </w:pPr>
      <w:r w:rsidRPr="0055621D">
        <w:t>na základě údajů a informací získaných průzkumem trhu s požadovaným plněním, kdy</w:t>
      </w:r>
    </w:p>
    <w:p w14:paraId="28BA4965" w14:textId="77777777" w:rsidR="008E1B81" w:rsidRPr="0055621D" w:rsidRDefault="008E1B81" w:rsidP="008E1B81">
      <w:pPr>
        <w:pStyle w:val="Odstavecseseznamem"/>
        <w:numPr>
          <w:ilvl w:val="2"/>
          <w:numId w:val="38"/>
        </w:numPr>
        <w:jc w:val="both"/>
      </w:pPr>
      <w:r w:rsidRPr="0055621D">
        <w:t xml:space="preserve">průzkum trhu musí být proveden oslovením minimálně 3 dodavatelů nebo výrobců, kteří se poptávaným plněním skutečně zabývají či ho standardně </w:t>
      </w:r>
      <w:r w:rsidRPr="0055621D">
        <w:lastRenderedPageBreak/>
        <w:t>nabízí, nebo průzkumem ceníků volně dostupných na internetu, popř. doložením expertního posudku,</w:t>
      </w:r>
    </w:p>
    <w:p w14:paraId="0D9E5E9E" w14:textId="77777777" w:rsidR="008E1B81" w:rsidRPr="0055621D" w:rsidRDefault="008E1B81" w:rsidP="008E1B81">
      <w:pPr>
        <w:pStyle w:val="Odstavecseseznamem"/>
        <w:numPr>
          <w:ilvl w:val="1"/>
          <w:numId w:val="38"/>
        </w:numPr>
        <w:jc w:val="both"/>
      </w:pPr>
      <w:r w:rsidRPr="0055621D">
        <w:t xml:space="preserve">na základě údajů a informací o zakázkách se stejným či obdobným předmětem plnění – může se jednat o zakázky žadatele, popř. jiné osoby, za předpokladu, že </w:t>
      </w:r>
    </w:p>
    <w:p w14:paraId="0FA08C59" w14:textId="77777777" w:rsidR="008E1B81" w:rsidRPr="0055621D" w:rsidRDefault="008E1B81" w:rsidP="008E1B81">
      <w:pPr>
        <w:pStyle w:val="Odstavecseseznamem"/>
        <w:numPr>
          <w:ilvl w:val="2"/>
          <w:numId w:val="38"/>
        </w:numPr>
        <w:jc w:val="both"/>
      </w:pPr>
      <w:r w:rsidRPr="0055621D">
        <w:t>žadatel uvede identifikaci zakázky, datum uzavření smlouvy, předmětu plnění včetně smluvní ceny, identifikaci dodavatele,</w:t>
      </w:r>
    </w:p>
    <w:p w14:paraId="1D34E79C" w14:textId="77777777" w:rsidR="008E1B81" w:rsidRPr="0055621D" w:rsidRDefault="008E1B81" w:rsidP="008E1B81">
      <w:pPr>
        <w:pStyle w:val="Odstavecseseznamem"/>
        <w:numPr>
          <w:ilvl w:val="1"/>
          <w:numId w:val="38"/>
        </w:numPr>
        <w:jc w:val="both"/>
      </w:pPr>
      <w:r w:rsidRPr="0055621D">
        <w:t>na základě údajů a informací získaných jiným vhodným způsobem,</w:t>
      </w:r>
    </w:p>
    <w:p w14:paraId="11A604C5" w14:textId="77777777" w:rsidR="008E1B81" w:rsidRPr="0055621D" w:rsidRDefault="008E1B81" w:rsidP="008E1B81">
      <w:pPr>
        <w:pStyle w:val="Odstavecseseznamem"/>
        <w:numPr>
          <w:ilvl w:val="2"/>
          <w:numId w:val="38"/>
        </w:numPr>
        <w:jc w:val="both"/>
      </w:pPr>
      <w:r w:rsidRPr="0055621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2911BCC7" w14:textId="77777777" w:rsidR="008E1B81" w:rsidRPr="0055621D" w:rsidRDefault="008E1B81" w:rsidP="008E1B81">
      <w:pPr>
        <w:pStyle w:val="Odstavecseseznamem"/>
        <w:numPr>
          <w:ilvl w:val="0"/>
          <w:numId w:val="38"/>
        </w:numPr>
        <w:jc w:val="both"/>
      </w:pPr>
      <w:r w:rsidRPr="0055621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2883F583" w14:textId="77777777" w:rsidR="008E1B81" w:rsidRPr="0055621D" w:rsidRDefault="008E1B81" w:rsidP="008E1B81">
      <w:pPr>
        <w:pStyle w:val="Odstavecseseznamem"/>
        <w:numPr>
          <w:ilvl w:val="0"/>
          <w:numId w:val="38"/>
        </w:numPr>
        <w:spacing w:after="0"/>
        <w:ind w:left="714" w:hanging="357"/>
        <w:jc w:val="both"/>
      </w:pPr>
      <w:r w:rsidRPr="0055621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696E668C" w14:textId="77777777" w:rsidR="008E1B81" w:rsidRPr="00862EA7" w:rsidRDefault="008E1B81" w:rsidP="008E1B81">
      <w:pPr>
        <w:numPr>
          <w:ilvl w:val="0"/>
          <w:numId w:val="38"/>
        </w:numPr>
        <w:contextualSpacing/>
        <w:jc w:val="both"/>
      </w:pPr>
      <w:r w:rsidRPr="0055621D">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14:paraId="4B60FF65" w14:textId="77777777" w:rsidR="008E1B81" w:rsidRPr="009F0AA0" w:rsidRDefault="008E1B81" w:rsidP="008E1B81">
      <w:pPr>
        <w:ind w:left="720"/>
        <w:contextualSpacing/>
        <w:jc w:val="both"/>
      </w:pPr>
    </w:p>
    <w:p w14:paraId="6332AD2A" w14:textId="77777777" w:rsidR="008E1B81" w:rsidRPr="009F0AA0" w:rsidRDefault="008E1B81" w:rsidP="008E1B81">
      <w:pPr>
        <w:contextualSpacing/>
        <w:jc w:val="both"/>
      </w:pPr>
      <w:r w:rsidRPr="009F0AA0">
        <w:t>Vzorová tabulka stanovení cen do rozpočtu projektu</w:t>
      </w:r>
    </w:p>
    <w:p w14:paraId="2A2A1E8B" w14:textId="77777777" w:rsidR="008E1B81" w:rsidRPr="009F0AA0" w:rsidRDefault="008E1B81" w:rsidP="008E1B81">
      <w:pPr>
        <w:ind w:left="-11"/>
        <w:contextualSpacing/>
        <w:jc w:val="both"/>
      </w:pPr>
      <w:r w:rsidRPr="00372E0B">
        <w:object w:dxaOrig="15384" w:dyaOrig="1647" w14:anchorId="098B56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534763964" r:id="rId10"/>
        </w:object>
      </w:r>
      <w:r w:rsidRPr="00084F90">
        <w:fldChar w:fldCharType="begin"/>
      </w:r>
      <w:r w:rsidRPr="00084F90">
        <w:instrText xml:space="preserve"> LINK Excel.Sheet.12 F:\\CRR\\vzorove-tabulky-ceny.xlsx "vzor - ceny!R4C1:R10C9" \a \f 4 \h  \* MERGEFORMAT </w:instrText>
      </w:r>
      <w:r w:rsidRPr="00084F90">
        <w:fldChar w:fldCharType="separate"/>
      </w:r>
    </w:p>
    <w:p w14:paraId="2CE27EC2" w14:textId="77777777" w:rsidR="008E1B81" w:rsidRPr="009F0AA0" w:rsidRDefault="008E1B81" w:rsidP="008E1B81">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08259E2A" w14:textId="77777777" w:rsidR="008E1B81" w:rsidRPr="009F0AA0" w:rsidRDefault="008E1B81" w:rsidP="008E1B81">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263161E3" w14:textId="77777777" w:rsidR="008E1B81" w:rsidRPr="00084F90" w:rsidRDefault="008E1B81" w:rsidP="008E1B81">
      <w:pPr>
        <w:ind w:left="709"/>
        <w:contextualSpacing/>
        <w:jc w:val="both"/>
      </w:pPr>
      <w:r w:rsidRPr="00084F90">
        <w:fldChar w:fldCharType="end"/>
      </w:r>
    </w:p>
    <w:p w14:paraId="4F8516E2" w14:textId="77777777" w:rsidR="008E1B81" w:rsidRDefault="008E1B81" w:rsidP="008E1B81">
      <w:pPr>
        <w:ind w:left="709"/>
        <w:contextualSpacing/>
        <w:jc w:val="both"/>
      </w:pPr>
      <w:r w:rsidRPr="00084F90">
        <w:t xml:space="preserve">Popis mechanismu stanovení ceny do rozpočtu: </w:t>
      </w:r>
    </w:p>
    <w:p w14:paraId="3FCBB8A3" w14:textId="77777777" w:rsidR="008E1B81" w:rsidRDefault="008E1B81" w:rsidP="008E1B81">
      <w:pPr>
        <w:ind w:left="709"/>
        <w:contextualSpacing/>
        <w:jc w:val="both"/>
      </w:pPr>
    </w:p>
    <w:p w14:paraId="05772B92" w14:textId="77777777" w:rsidR="008E1B81" w:rsidRDefault="008E1B81" w:rsidP="008E1B81">
      <w:pPr>
        <w:pStyle w:val="Odstavecseseznamem"/>
        <w:numPr>
          <w:ilvl w:val="0"/>
          <w:numId w:val="40"/>
        </w:numPr>
        <w:rPr>
          <w:b/>
        </w:rPr>
      </w:pPr>
      <w:r w:rsidRPr="00084F90">
        <w:rPr>
          <w:b/>
        </w:rPr>
        <w:t>Způsob stanovení cen do rozpočtu na základě výsledku stanovení předpokládané hodnoty zakázky</w:t>
      </w:r>
    </w:p>
    <w:p w14:paraId="47CF3829" w14:textId="77777777" w:rsidR="008E1B81" w:rsidRPr="00084F90" w:rsidRDefault="008E1B81" w:rsidP="008E1B81">
      <w:pPr>
        <w:pStyle w:val="Odstavecseseznamem"/>
        <w:rPr>
          <w:b/>
        </w:rPr>
      </w:pPr>
    </w:p>
    <w:p w14:paraId="73AA589B" w14:textId="77777777" w:rsidR="008E1B81" w:rsidRPr="00A8392A" w:rsidRDefault="008E1B81" w:rsidP="008E1B81">
      <w:pPr>
        <w:pStyle w:val="Odstavecseseznamem"/>
        <w:numPr>
          <w:ilvl w:val="0"/>
          <w:numId w:val="38"/>
        </w:numPr>
        <w:jc w:val="both"/>
      </w:pPr>
      <w:r w:rsidRPr="0055621D">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w:t>
      </w:r>
      <w:r w:rsidRPr="0055621D">
        <w:lastRenderedPageBreak/>
        <w:t xml:space="preserve">předpisům (ZVZ,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14:paraId="691618BC" w14:textId="77777777" w:rsidR="008E1B81" w:rsidRPr="00A8392A" w:rsidRDefault="008E1B81" w:rsidP="008E1B81">
      <w:pPr>
        <w:pStyle w:val="Odstavecseseznamem"/>
        <w:numPr>
          <w:ilvl w:val="0"/>
          <w:numId w:val="38"/>
        </w:numPr>
        <w:jc w:val="both"/>
      </w:pPr>
      <w:r w:rsidRPr="00A8392A">
        <w:t>Tím nejsou dotčeny povinnosti předkládat dokumentaci k veřejným zakázkám dle kapitoly 5 Obecných pravidel.</w:t>
      </w:r>
    </w:p>
    <w:p w14:paraId="0FBFC9D4" w14:textId="77777777" w:rsidR="008E1B81" w:rsidRDefault="008E1B81" w:rsidP="008E1B81">
      <w:pPr>
        <w:pStyle w:val="Odstavecseseznamem"/>
        <w:jc w:val="both"/>
        <w:rPr>
          <w:rFonts w:asciiTheme="majorHAnsi" w:hAnsiTheme="majorHAnsi"/>
        </w:rPr>
      </w:pPr>
    </w:p>
    <w:p w14:paraId="4BAE8236" w14:textId="77777777" w:rsidR="008E1B81" w:rsidRDefault="008E1B81" w:rsidP="008E1B81">
      <w:pPr>
        <w:pStyle w:val="Odstavecseseznamem"/>
        <w:jc w:val="both"/>
        <w:rPr>
          <w:rFonts w:asciiTheme="majorHAnsi" w:hAnsiTheme="majorHAnsi"/>
        </w:rPr>
      </w:pPr>
      <w:r>
        <w:rPr>
          <w:rFonts w:asciiTheme="majorHAnsi" w:hAnsiTheme="majorHAnsi"/>
        </w:rPr>
        <w:t>Vzorová tabulka stanovení cen do rozpočtu na základě výsledku stanovení předpokládané hodnoty zakázky</w:t>
      </w:r>
    </w:p>
    <w:p w14:paraId="00C6344D" w14:textId="77777777" w:rsidR="008E1B81" w:rsidRDefault="008E1B81" w:rsidP="008E1B81">
      <w:pPr>
        <w:pStyle w:val="Odstavecseseznamem"/>
        <w:ind w:left="0"/>
        <w:jc w:val="both"/>
        <w:rPr>
          <w:rFonts w:asciiTheme="majorHAnsi" w:hAnsiTheme="majorHAnsi"/>
        </w:rPr>
      </w:pPr>
      <w:r>
        <w:rPr>
          <w:rFonts w:asciiTheme="majorHAnsi" w:hAnsiTheme="majorHAnsi"/>
        </w:rPr>
        <w:object w:dxaOrig="15384" w:dyaOrig="1647" w14:anchorId="419039A5">
          <v:shape id="_x0000_i1026" type="#_x0000_t75" style="width:479.25pt;height:49.5pt" o:ole="">
            <v:imagedata r:id="rId11" o:title=""/>
          </v:shape>
          <o:OLEObject Type="Embed" ProgID="Excel.Sheet.12" ShapeID="_x0000_i1026" DrawAspect="Content" ObjectID="_1534763965" r:id="rId12"/>
        </w:object>
      </w:r>
    </w:p>
    <w:p w14:paraId="4ED129EA" w14:textId="77777777" w:rsidR="008E1B81" w:rsidRPr="00A8392A" w:rsidRDefault="008E1B81" w:rsidP="008E1B81">
      <w:pPr>
        <w:pStyle w:val="Odstavecseseznamem"/>
        <w:ind w:left="709"/>
        <w:jc w:val="both"/>
      </w:pPr>
      <w:r w:rsidRPr="00A8392A">
        <w:t>Popis mechanismu stanovení cen do rozpočtu na základě výsledku stanovení předpokládané hodnoty zakázky:</w:t>
      </w:r>
    </w:p>
    <w:p w14:paraId="4941DBD6" w14:textId="77777777" w:rsidR="008E1B81" w:rsidRDefault="008E1B81" w:rsidP="008E1B81">
      <w:pPr>
        <w:pStyle w:val="Odstavecseseznamem"/>
        <w:ind w:left="709"/>
        <w:jc w:val="both"/>
        <w:rPr>
          <w:rFonts w:asciiTheme="majorHAnsi" w:hAnsiTheme="majorHAnsi"/>
        </w:rPr>
      </w:pPr>
    </w:p>
    <w:p w14:paraId="7E9B8046" w14:textId="77777777" w:rsidR="008E1B81" w:rsidRDefault="008E1B81" w:rsidP="008E1B81">
      <w:pPr>
        <w:pStyle w:val="Odstavecseseznamem"/>
        <w:ind w:left="709"/>
        <w:jc w:val="both"/>
        <w:rPr>
          <w:rFonts w:asciiTheme="majorHAnsi" w:hAnsiTheme="majorHAnsi"/>
        </w:rPr>
      </w:pPr>
    </w:p>
    <w:p w14:paraId="2E94EDF9" w14:textId="77777777" w:rsidR="008E1B81" w:rsidRPr="00084F90" w:rsidRDefault="008E1B81" w:rsidP="008E1B81">
      <w:pPr>
        <w:pStyle w:val="Odstavecseseznamem"/>
        <w:numPr>
          <w:ilvl w:val="0"/>
          <w:numId w:val="40"/>
        </w:numPr>
        <w:rPr>
          <w:b/>
        </w:rPr>
      </w:pPr>
      <w:r w:rsidRPr="00084F90">
        <w:rPr>
          <w:b/>
        </w:rPr>
        <w:t>Způsob stanovení cen do rozpočtu na základě ukončené zakázky</w:t>
      </w:r>
    </w:p>
    <w:p w14:paraId="227A3CB4" w14:textId="77777777" w:rsidR="008E1B81" w:rsidRDefault="008E1B81" w:rsidP="008E1B81">
      <w:pPr>
        <w:pStyle w:val="Odstavecseseznamem"/>
        <w:jc w:val="both"/>
        <w:rPr>
          <w:rFonts w:asciiTheme="majorHAnsi" w:hAnsiTheme="majorHAnsi"/>
        </w:rPr>
      </w:pPr>
    </w:p>
    <w:p w14:paraId="467797A9" w14:textId="77777777" w:rsidR="008E1B81" w:rsidRPr="0055621D" w:rsidRDefault="008E1B81" w:rsidP="008E1B81">
      <w:pPr>
        <w:pStyle w:val="Odstavecseseznamem"/>
        <w:numPr>
          <w:ilvl w:val="0"/>
          <w:numId w:val="38"/>
        </w:numPr>
        <w:jc w:val="both"/>
      </w:pPr>
      <w:r w:rsidRPr="0055621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7502192A" w14:textId="77777777" w:rsidR="008E1B81" w:rsidRPr="0055621D" w:rsidRDefault="008E1B81" w:rsidP="008E1B81">
      <w:pPr>
        <w:pStyle w:val="Odstavecseseznamem"/>
        <w:numPr>
          <w:ilvl w:val="0"/>
          <w:numId w:val="38"/>
        </w:numPr>
        <w:jc w:val="both"/>
      </w:pPr>
      <w:r w:rsidRPr="0055621D">
        <w:t xml:space="preserve">Tím nejsou dotčeny povinnosti předkládat dokumentaci k zakázkám dle kapitoly 5 Obecných pravidel. </w:t>
      </w:r>
    </w:p>
    <w:p w14:paraId="6C8C5A3D" w14:textId="77777777" w:rsidR="008E1B81" w:rsidRPr="0055621D" w:rsidRDefault="008E1B81" w:rsidP="008E1B81">
      <w:pPr>
        <w:pStyle w:val="Odstavecseseznamem"/>
        <w:numPr>
          <w:ilvl w:val="0"/>
          <w:numId w:val="38"/>
        </w:numPr>
        <w:jc w:val="both"/>
      </w:pPr>
      <w:r w:rsidRPr="0055621D">
        <w:t>Pokud žadatel vybral dodavatele na základě ekonomické výhodnosti nabídky, popíše způsob hodnocení nabídek tak, aby bylo zřejmé, na základě jakých kritérií došlo k výběru dodavatele.</w:t>
      </w:r>
    </w:p>
    <w:p w14:paraId="5F6ECB46" w14:textId="77777777" w:rsidR="008E1B81" w:rsidRPr="00A8392A" w:rsidRDefault="008E1B81" w:rsidP="008E1B81">
      <w:pPr>
        <w:pStyle w:val="Odstavecseseznamem"/>
        <w:numPr>
          <w:ilvl w:val="0"/>
          <w:numId w:val="38"/>
        </w:numPr>
        <w:jc w:val="both"/>
      </w:pPr>
      <w:r w:rsidRPr="0055621D">
        <w:t>Pokud byla do ukončené zakázky podána pouze 1 nabídka, je žadatel zároveň povinen předložit stanovení předpokládané hodnoty zakázky (dle bodu 2) za účelem doložení stanovení ceny do rozpočtu projektu.</w:t>
      </w:r>
    </w:p>
    <w:p w14:paraId="387912AC" w14:textId="77777777" w:rsidR="008E1B81" w:rsidRPr="00A8392A" w:rsidRDefault="008E1B81" w:rsidP="008E1B81">
      <w:pPr>
        <w:jc w:val="both"/>
      </w:pPr>
      <w:r w:rsidRPr="00A8392A">
        <w:t>Vzorová tabulka stanovení cen do rozpočtu na základě ukončené zakázky</w:t>
      </w:r>
    </w:p>
    <w:p w14:paraId="17CE2CF3" w14:textId="77777777" w:rsidR="008E1B81" w:rsidRPr="003F5C78" w:rsidRDefault="008E1B81" w:rsidP="008E1B81">
      <w:pPr>
        <w:jc w:val="both"/>
        <w:rPr>
          <w:rFonts w:asciiTheme="majorHAnsi" w:hAnsiTheme="majorHAnsi"/>
        </w:rPr>
      </w:pPr>
      <w:r>
        <w:rPr>
          <w:rFonts w:asciiTheme="majorHAnsi" w:hAnsiTheme="majorHAnsi"/>
        </w:rPr>
        <w:object w:dxaOrig="13863" w:dyaOrig="2085" w14:anchorId="55005538">
          <v:shape id="_x0000_i1027" type="#_x0000_t75" style="width:491.25pt;height:74.25pt" o:ole="">
            <v:imagedata r:id="rId13" o:title=""/>
          </v:shape>
          <o:OLEObject Type="Embed" ProgID="Excel.Sheet.12" ShapeID="_x0000_i1027" DrawAspect="Content" ObjectID="_1534763966" r:id="rId14"/>
        </w:object>
      </w:r>
    </w:p>
    <w:p w14:paraId="6C966490" w14:textId="75CFBD20" w:rsidR="00E0488A" w:rsidRPr="003F5C78" w:rsidRDefault="00E0488A" w:rsidP="00E0488A">
      <w:pPr>
        <w:jc w:val="both"/>
        <w:rPr>
          <w:rFonts w:asciiTheme="majorHAnsi" w:hAnsiTheme="majorHAnsi"/>
        </w:rPr>
      </w:pPr>
      <w:bookmarkStart w:id="16" w:name="_MON_1528538227"/>
      <w:bookmarkEnd w:id="16"/>
    </w:p>
    <w:p w14:paraId="5348F2B7" w14:textId="6D4B29EB" w:rsidR="00B32019" w:rsidRPr="004A323F" w:rsidRDefault="00B32019" w:rsidP="00E17859">
      <w:pPr>
        <w:pStyle w:val="Nadpis1"/>
        <w:numPr>
          <w:ilvl w:val="0"/>
          <w:numId w:val="14"/>
        </w:numPr>
        <w:ind w:left="851" w:hanging="567"/>
        <w:jc w:val="both"/>
        <w:rPr>
          <w:caps/>
        </w:rPr>
      </w:pPr>
      <w:bookmarkStart w:id="17" w:name="_Toc461022042"/>
      <w:r w:rsidRPr="004A323F">
        <w:rPr>
          <w:caps/>
        </w:rPr>
        <w:lastRenderedPageBreak/>
        <w:t xml:space="preserve">Finanční </w:t>
      </w:r>
      <w:r w:rsidR="00E0488A">
        <w:rPr>
          <w:caps/>
        </w:rPr>
        <w:t>analýza</w:t>
      </w:r>
      <w:r w:rsidR="000E4312">
        <w:rPr>
          <w:rStyle w:val="Znakapoznpodarou"/>
          <w:caps/>
        </w:rPr>
        <w:footnoteReference w:id="2"/>
      </w:r>
      <w:bookmarkEnd w:id="17"/>
    </w:p>
    <w:p w14:paraId="181CDE52" w14:textId="3D9770EE" w:rsidR="008E1B81" w:rsidRDefault="00E0488A" w:rsidP="00E0488A">
      <w:pPr>
        <w:pStyle w:val="Odstavecseseznamem"/>
        <w:numPr>
          <w:ilvl w:val="0"/>
          <w:numId w:val="4"/>
        </w:numPr>
        <w:jc w:val="both"/>
      </w:pPr>
      <w:r w:rsidRPr="009F0AA0">
        <w:t>Položkový rozpočet způsobilých výdajů projektu</w:t>
      </w:r>
      <w:r w:rsidR="008E1B81">
        <w:t>:</w:t>
      </w:r>
    </w:p>
    <w:p w14:paraId="381D69C9" w14:textId="6AE128E2" w:rsidR="00E0488A" w:rsidRPr="009F0AA0" w:rsidRDefault="00E0488A" w:rsidP="00D803AD">
      <w:pPr>
        <w:pStyle w:val="Odstavecseseznamem"/>
        <w:numPr>
          <w:ilvl w:val="1"/>
          <w:numId w:val="4"/>
        </w:numPr>
        <w:jc w:val="both"/>
      </w:pPr>
      <w:r w:rsidRPr="009F0AA0">
        <w:t xml:space="preserve"> u každé položky rozpočtu projektu musí být uvedeno, zda se jedná o hlavní nebo vedlejší aktivity projektu podle kap. </w:t>
      </w:r>
      <w:r w:rsidR="008E1B81">
        <w:t>3.3.2</w:t>
      </w:r>
      <w:r w:rsidRPr="009F0AA0">
        <w:t xml:space="preserve"> Specifických pravidel a zároveň musí být uvedena konkrétní vazba na výběrové/zadávací řízení.</w:t>
      </w:r>
    </w:p>
    <w:p w14:paraId="47B48317" w14:textId="77777777" w:rsidR="00D803AD" w:rsidRDefault="00E0488A" w:rsidP="00D803AD">
      <w:pPr>
        <w:pStyle w:val="Odstavecseseznamem"/>
        <w:numPr>
          <w:ilvl w:val="1"/>
          <w:numId w:val="4"/>
        </w:numPr>
        <w:jc w:val="both"/>
        <w:sectPr w:rsidR="00D803AD" w:rsidSect="0075715C">
          <w:headerReference w:type="default" r:id="rId15"/>
          <w:footerReference w:type="default" r:id="rId16"/>
          <w:pgSz w:w="11906" w:h="16838"/>
          <w:pgMar w:top="1417" w:right="1417" w:bottom="1417" w:left="1417" w:header="708" w:footer="708" w:gutter="0"/>
          <w:cols w:space="708"/>
          <w:docGrid w:linePitch="360"/>
        </w:sectPr>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77777777" w:rsidR="00E0488A" w:rsidRPr="009F0AA0" w:rsidRDefault="00E0488A" w:rsidP="00E0488A">
      <w:pPr>
        <w:pStyle w:val="Odstavecseseznamem"/>
        <w:numPr>
          <w:ilvl w:val="0"/>
          <w:numId w:val="4"/>
        </w:numPr>
        <w:jc w:val="both"/>
      </w:pPr>
      <w:r w:rsidRPr="009F0AA0">
        <w:lastRenderedPageBreak/>
        <w:t>Vzor položkového rozpočtu projektu:</w:t>
      </w:r>
    </w:p>
    <w:bookmarkStart w:id="18" w:name="_MON_1528538726"/>
    <w:bookmarkEnd w:id="18"/>
    <w:p w14:paraId="176C9351" w14:textId="38FC40D7" w:rsidR="00E0488A" w:rsidRPr="00755690" w:rsidRDefault="008E1B81" w:rsidP="00D803AD">
      <w:pPr>
        <w:pStyle w:val="Odstavecseseznamem"/>
        <w:jc w:val="both"/>
      </w:pPr>
      <w:r>
        <w:rPr>
          <w:rFonts w:asciiTheme="majorHAnsi" w:hAnsiTheme="majorHAnsi"/>
        </w:rPr>
        <w:object w:dxaOrig="17622" w:dyaOrig="2511" w14:anchorId="3C9841B4">
          <v:shape id="_x0000_i1031" type="#_x0000_t75" style="width:482.25pt;height:100.5pt" o:ole="">
            <v:imagedata r:id="rId17" o:title=""/>
          </v:shape>
          <o:OLEObject Type="Embed" ProgID="Excel.Sheet.12" ShapeID="_x0000_i1031" DrawAspect="Content" ObjectID="_1534763967" r:id="rId18"/>
        </w:object>
      </w:r>
    </w:p>
    <w:p w14:paraId="3B5C5248" w14:textId="5AEA433C" w:rsidR="00E0488A" w:rsidRPr="00CD4C48" w:rsidRDefault="008E1B81" w:rsidP="00E0488A">
      <w:pPr>
        <w:pStyle w:val="Odstavecseseznamem"/>
        <w:numPr>
          <w:ilvl w:val="0"/>
          <w:numId w:val="4"/>
        </w:numPr>
        <w:jc w:val="both"/>
      </w:pPr>
      <w:r>
        <w:t xml:space="preserve">Případné </w:t>
      </w:r>
      <w:r w:rsidR="00E0488A">
        <w:t>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w:t>
      </w:r>
      <w:proofErr w:type="spellStart"/>
      <w:r w:rsidRPr="00CD4C48">
        <w:t>flow</w:t>
      </w:r>
      <w:proofErr w:type="spellEnd"/>
      <w:r w:rsidRPr="00CD4C48">
        <w:t xml:space="preserve"> v provozní fázi projektu v členění</w:t>
      </w:r>
      <w:r>
        <w:t xml:space="preserve"> po letech</w:t>
      </w:r>
      <w:r w:rsidRPr="00CD4C48">
        <w:t>:</w:t>
      </w:r>
    </w:p>
    <w:p w14:paraId="681E3481" w14:textId="77777777" w:rsidR="00E0488A" w:rsidRPr="00CD4C48" w:rsidRDefault="00E0488A" w:rsidP="00E0488A">
      <w:pPr>
        <w:pStyle w:val="Odstavecseseznamem"/>
        <w:numPr>
          <w:ilvl w:val="1"/>
          <w:numId w:val="4"/>
        </w:numPr>
        <w:ind w:left="1494"/>
        <w:jc w:val="both"/>
      </w:pPr>
      <w:r w:rsidRPr="00CD4C48">
        <w:t>provozní výdaje a příjmy příjemce plynoucí z provozu projektu, stanovené bez zohlednění inflace,</w:t>
      </w:r>
    </w:p>
    <w:p w14:paraId="69D12043" w14:textId="68224C9B" w:rsidR="00E0488A" w:rsidRPr="00CD4C48" w:rsidRDefault="008E1B81" w:rsidP="00E0488A">
      <w:pPr>
        <w:pStyle w:val="Odstavecseseznamem"/>
        <w:numPr>
          <w:ilvl w:val="1"/>
          <w:numId w:val="4"/>
        </w:numPr>
        <w:ind w:left="1494"/>
        <w:jc w:val="both"/>
      </w:pPr>
      <w:r w:rsidRPr="00482EA1">
        <w:t>zajištění financí v provozní fázi projektu</w:t>
      </w:r>
      <w:r w:rsidR="00E0488A" w:rsidRPr="00CD4C48">
        <w:t xml:space="preserve">. </w:t>
      </w:r>
    </w:p>
    <w:p w14:paraId="16CF9DA8" w14:textId="06E1C129" w:rsidR="00E0488A" w:rsidRPr="00CD4C48" w:rsidRDefault="00E0488A" w:rsidP="00E0488A">
      <w:pPr>
        <w:pStyle w:val="Odstavecseseznamem"/>
        <w:numPr>
          <w:ilvl w:val="0"/>
          <w:numId w:val="4"/>
        </w:numPr>
        <w:jc w:val="both"/>
      </w:pPr>
      <w:r w:rsidRPr="00CD4C48">
        <w:t>Vyhodnocení plánu cash-</w:t>
      </w:r>
      <w:proofErr w:type="spellStart"/>
      <w:r w:rsidRPr="00CD4C48">
        <w:t>flow</w:t>
      </w:r>
      <w:bookmarkStart w:id="19" w:name="_GoBack"/>
      <w:bookmarkEnd w:id="19"/>
      <w:proofErr w:type="spellEnd"/>
    </w:p>
    <w:p w14:paraId="28669619" w14:textId="77777777" w:rsidR="00D803AD" w:rsidRDefault="00D803AD" w:rsidP="00E4345F">
      <w:pPr>
        <w:pStyle w:val="Odstavecseseznamem"/>
        <w:ind w:left="1440"/>
        <w:jc w:val="both"/>
        <w:sectPr w:rsidR="00D803AD" w:rsidSect="00D803AD">
          <w:pgSz w:w="16838" w:h="11906" w:orient="landscape"/>
          <w:pgMar w:top="1417" w:right="1417" w:bottom="1417" w:left="1417" w:header="708" w:footer="708" w:gutter="0"/>
          <w:cols w:space="708"/>
          <w:docGrid w:linePitch="360"/>
        </w:sectPr>
      </w:pPr>
    </w:p>
    <w:p w14:paraId="6E7A24E0" w14:textId="77777777" w:rsidR="005211DB" w:rsidRPr="00A97294" w:rsidRDefault="005211DB" w:rsidP="00E17859">
      <w:pPr>
        <w:pStyle w:val="Nadpis1"/>
        <w:numPr>
          <w:ilvl w:val="0"/>
          <w:numId w:val="14"/>
        </w:numPr>
        <w:ind w:left="851" w:hanging="567"/>
        <w:jc w:val="both"/>
        <w:rPr>
          <w:caps/>
        </w:rPr>
      </w:pPr>
      <w:bookmarkStart w:id="20" w:name="_Toc461022043"/>
      <w:r w:rsidRPr="00A97294">
        <w:rPr>
          <w:caps/>
        </w:rPr>
        <w:lastRenderedPageBreak/>
        <w:t>Analýza a řízení rizik</w:t>
      </w:r>
      <w:r w:rsidR="00AA6E68" w:rsidRPr="00A97294">
        <w:rPr>
          <w:rStyle w:val="Znakapoznpodarou"/>
          <w:b w:val="0"/>
          <w:caps/>
        </w:rPr>
        <w:footnoteReference w:id="3"/>
      </w:r>
      <w:bookmarkEnd w:id="20"/>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ADD518F" w:rsidR="000855EE" w:rsidRDefault="000855EE" w:rsidP="00E17859">
      <w:pPr>
        <w:pStyle w:val="Nadpis1"/>
        <w:numPr>
          <w:ilvl w:val="0"/>
          <w:numId w:val="14"/>
        </w:numPr>
        <w:ind w:left="851" w:hanging="567"/>
        <w:jc w:val="both"/>
        <w:rPr>
          <w:caps/>
        </w:rPr>
      </w:pPr>
      <w:bookmarkStart w:id="21" w:name="_Toc461022044"/>
      <w:r>
        <w:rPr>
          <w:caps/>
        </w:rPr>
        <w:t xml:space="preserve">Vliv projektu na horizontální </w:t>
      </w:r>
      <w:r w:rsidR="00E0488A">
        <w:rPr>
          <w:caps/>
        </w:rPr>
        <w:t>principy</w:t>
      </w:r>
      <w:bookmarkEnd w:id="21"/>
    </w:p>
    <w:p w14:paraId="51DEE732" w14:textId="178EC666"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FB89586" w:rsidR="00520431" w:rsidRDefault="00520431" w:rsidP="00E17859">
      <w:pPr>
        <w:spacing w:after="0"/>
        <w:jc w:val="both"/>
      </w:pPr>
      <w:r>
        <w:lastRenderedPageBreak/>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27AAC5C4" w:rsidR="00345415" w:rsidRDefault="00E0488A" w:rsidP="00345415">
      <w:pPr>
        <w:jc w:val="both"/>
      </w:pPr>
      <w:r>
        <w:t>Vliv projektu na horizontální principy musí být uváděn v souladu s přílohou č. 24 Obecných pravidel. V aktivitě „</w:t>
      </w:r>
      <w:proofErr w:type="spellStart"/>
      <w:r w:rsidRPr="00E0488A">
        <w:rPr>
          <w:b/>
        </w:rPr>
        <w:t>Nízkoemisní</w:t>
      </w:r>
      <w:proofErr w:type="spellEnd"/>
      <w:r w:rsidRPr="00E0488A">
        <w:rPr>
          <w:b/>
        </w:rPr>
        <w:t xml:space="preserve"> a bezemisní vozidla</w:t>
      </w:r>
      <w:r>
        <w:t xml:space="preserve">“ musí být vliv projektů na horizontální princip „podpora rovných příležitostí a nediskriminace“ neutrální nebo pozitivní, na horizontální princip „podpora rovnosti mezi muži a ženami“ neutrální a na horizontální princip „udržitelný rozvoj“ pozitivní.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E17859">
      <w:pPr>
        <w:pStyle w:val="Nadpis1"/>
        <w:numPr>
          <w:ilvl w:val="0"/>
          <w:numId w:val="14"/>
        </w:numPr>
        <w:ind w:left="851" w:hanging="567"/>
        <w:jc w:val="both"/>
        <w:rPr>
          <w:caps/>
        </w:rPr>
      </w:pPr>
      <w:bookmarkStart w:id="22" w:name="_Toc461022045"/>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2"/>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E2F9D1C" w14:textId="6992C74E" w:rsidR="0059253A"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8927DE">
        <w:t>.</w:t>
      </w:r>
    </w:p>
    <w:p w14:paraId="031C3E96" w14:textId="0E8FB63A" w:rsidR="00A524D9" w:rsidRDefault="00A524D9" w:rsidP="00A524D9">
      <w:pPr>
        <w:pStyle w:val="Nadpis1"/>
        <w:numPr>
          <w:ilvl w:val="0"/>
          <w:numId w:val="14"/>
        </w:numPr>
        <w:jc w:val="both"/>
        <w:rPr>
          <w:caps/>
        </w:rPr>
      </w:pPr>
      <w:bookmarkStart w:id="23" w:name="_Toc461022046"/>
      <w:r>
        <w:rPr>
          <w:caps/>
        </w:rPr>
        <w:t>uPOZORNĚNÍ</w:t>
      </w:r>
      <w:bookmarkEnd w:id="23"/>
    </w:p>
    <w:p w14:paraId="0F048609" w14:textId="7AF03725"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8E1B81">
        <w:t>3.3.9</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251E3" w15:done="0"/>
  <w15:commentEx w15:paraId="03FC8030" w15:done="0"/>
  <w15:commentEx w15:paraId="278C6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13D61" w14:textId="77777777" w:rsidR="00E94A26" w:rsidRDefault="00E94A26" w:rsidP="00634381">
      <w:pPr>
        <w:spacing w:after="0" w:line="240" w:lineRule="auto"/>
      </w:pPr>
      <w:r>
        <w:separator/>
      </w:r>
    </w:p>
  </w:endnote>
  <w:endnote w:type="continuationSeparator" w:id="0">
    <w:p w14:paraId="2E87129D" w14:textId="77777777" w:rsidR="00E94A26" w:rsidRDefault="00E94A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7777777"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803AD">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803AD">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ADC28" w14:textId="77777777" w:rsidR="00E94A26" w:rsidRDefault="00E94A26" w:rsidP="00634381">
      <w:pPr>
        <w:spacing w:after="0" w:line="240" w:lineRule="auto"/>
      </w:pPr>
      <w:r>
        <w:separator/>
      </w:r>
    </w:p>
  </w:footnote>
  <w:footnote w:type="continuationSeparator" w:id="0">
    <w:p w14:paraId="4C5936DC" w14:textId="77777777" w:rsidR="00E94A26" w:rsidRDefault="00E94A26"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8"/>
  </w:num>
  <w:num w:numId="10">
    <w:abstractNumId w:val="2"/>
  </w:num>
  <w:num w:numId="11">
    <w:abstractNumId w:val="35"/>
  </w:num>
  <w:num w:numId="12">
    <w:abstractNumId w:val="21"/>
  </w:num>
  <w:num w:numId="13">
    <w:abstractNumId w:val="6"/>
    <w:lvlOverride w:ilvl="0">
      <w:startOverride w:val="1"/>
    </w:lvlOverride>
  </w:num>
  <w:num w:numId="14">
    <w:abstractNumId w:val="26"/>
  </w:num>
  <w:num w:numId="15">
    <w:abstractNumId w:val="8"/>
  </w:num>
  <w:num w:numId="16">
    <w:abstractNumId w:val="23"/>
  </w:num>
  <w:num w:numId="17">
    <w:abstractNumId w:val="22"/>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7"/>
  </w:num>
  <w:num w:numId="26">
    <w:abstractNumId w:val="1"/>
  </w:num>
  <w:num w:numId="27">
    <w:abstractNumId w:val="31"/>
  </w:num>
  <w:num w:numId="28">
    <w:abstractNumId w:val="0"/>
  </w:num>
  <w:num w:numId="29">
    <w:abstractNumId w:val="19"/>
  </w:num>
  <w:num w:numId="30">
    <w:abstractNumId w:val="20"/>
  </w:num>
  <w:num w:numId="31">
    <w:abstractNumId w:val="28"/>
  </w:num>
  <w:num w:numId="32">
    <w:abstractNumId w:val="38"/>
  </w:num>
  <w:num w:numId="33">
    <w:abstractNumId w:val="34"/>
  </w:num>
  <w:num w:numId="34">
    <w:abstractNumId w:val="36"/>
  </w:num>
  <w:num w:numId="35">
    <w:abstractNumId w:val="4"/>
  </w:num>
  <w:num w:numId="36">
    <w:abstractNumId w:val="17"/>
  </w:num>
  <w:num w:numId="37">
    <w:abstractNumId w:val="24"/>
  </w:num>
  <w:num w:numId="38">
    <w:abstractNumId w:val="3"/>
  </w:num>
  <w:num w:numId="39">
    <w:abstractNumId w:val="29"/>
  </w:num>
  <w:num w:numId="4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mar2">
    <w15:presenceInfo w15:providerId="None" w15:userId="janma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3181"/>
    <w:rsid w:val="00643292"/>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5708"/>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1B81"/>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7E91"/>
    <w:rsid w:val="00D803AD"/>
    <w:rsid w:val="00D835C5"/>
    <w:rsid w:val="00D84A16"/>
    <w:rsid w:val="00D87C4A"/>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345F"/>
    <w:rsid w:val="00E45C73"/>
    <w:rsid w:val="00E47E62"/>
    <w:rsid w:val="00E61590"/>
    <w:rsid w:val="00E627E9"/>
    <w:rsid w:val="00E658EF"/>
    <w:rsid w:val="00E70F7D"/>
    <w:rsid w:val="00E74589"/>
    <w:rsid w:val="00E74B55"/>
    <w:rsid w:val="00E75022"/>
    <w:rsid w:val="00E77220"/>
    <w:rsid w:val="00E86085"/>
    <w:rsid w:val="00E90F95"/>
    <w:rsid w:val="00E91466"/>
    <w:rsid w:val="00E94A26"/>
    <w:rsid w:val="00E96FB5"/>
    <w:rsid w:val="00E974F4"/>
    <w:rsid w:val="00EA0F05"/>
    <w:rsid w:val="00EA25D2"/>
    <w:rsid w:val="00EA3440"/>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3A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Excel_Worksheet4.xls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2.xlsx"/><Relationship Id="rId17" Type="http://schemas.openxmlformats.org/officeDocument/2006/relationships/image" Target="media/image5.emf"/><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package" Target="embeddings/Microsoft_Excel_Worksheet1.xlsx"/><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3.xlsx"/></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6F106-BC07-44CA-9839-CE8FAD10A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2558</Words>
  <Characters>15099</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Marie Špačková</cp:lastModifiedBy>
  <cp:revision>6</cp:revision>
  <cp:lastPrinted>2016-01-21T13:34:00Z</cp:lastPrinted>
  <dcterms:created xsi:type="dcterms:W3CDTF">2016-07-22T20:50:00Z</dcterms:created>
  <dcterms:modified xsi:type="dcterms:W3CDTF">2016-09-07T12:33:00Z</dcterms:modified>
</cp:coreProperties>
</file>