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672" w:rsidRPr="00BC5672" w:rsidRDefault="00BC5672" w:rsidP="00FF4CE5">
      <w:pPr>
        <w:rPr>
          <w:rFonts w:asciiTheme="majorHAnsi" w:hAnsiTheme="majorHAnsi" w:cs="MyriadPro-Black"/>
          <w:caps/>
          <w:sz w:val="72"/>
          <w:szCs w:val="72"/>
        </w:rPr>
      </w:pPr>
      <w:bookmarkStart w:id="0" w:name="_GoBack"/>
      <w:bookmarkEnd w:id="0"/>
    </w:p>
    <w:p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:rsidR="00FF4CE5" w:rsidRPr="00D62A6F" w:rsidRDefault="00FF4CE5" w:rsidP="00D62A6F">
      <w:pPr>
        <w:pStyle w:val="Zkladnodstavec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D62A6F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:rsidR="00FF4CE5" w:rsidRDefault="00FF4CE5" w:rsidP="00FF4CE5"/>
    <w:p w:rsidR="00FF4CE5" w:rsidRDefault="00FF4CE5" w:rsidP="00FF4CE5"/>
    <w:p w:rsidR="00FF4CE5" w:rsidRDefault="00FF4CE5" w:rsidP="00FF4CE5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D62A6F">
        <w:rPr>
          <w:rFonts w:cs="MyriadPro-Black"/>
          <w:caps/>
          <w:color w:val="A6A6A6"/>
          <w:sz w:val="40"/>
          <w:szCs w:val="40"/>
        </w:rPr>
        <w:t>4</w:t>
      </w:r>
      <w:r>
        <w:rPr>
          <w:rFonts w:cs="MyriadPro-Black"/>
          <w:caps/>
          <w:color w:val="A6A6A6"/>
          <w:sz w:val="40"/>
          <w:szCs w:val="40"/>
        </w:rPr>
        <w:t>.1</w:t>
      </w:r>
    </w:p>
    <w:p w:rsidR="00FF4CE5" w:rsidRDefault="00FF4CE5" w:rsidP="00FF4CE5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průběžná výzva Č. </w:t>
      </w:r>
      <w:r w:rsidR="0011491F">
        <w:rPr>
          <w:rFonts w:cs="MyriadPro-Black"/>
          <w:caps/>
          <w:color w:val="A6A6A6"/>
          <w:sz w:val="40"/>
          <w:szCs w:val="40"/>
        </w:rPr>
        <w:t>62</w:t>
      </w:r>
    </w:p>
    <w:p w:rsidR="00FF4CE5" w:rsidRDefault="00FF4CE5" w:rsidP="00FF4CE5">
      <w:pPr>
        <w:spacing w:after="0"/>
        <w:rPr>
          <w:rFonts w:cs="Arial"/>
          <w:b/>
          <w:sz w:val="40"/>
          <w:szCs w:val="4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3B1DC1">
        <w:rPr>
          <w:rFonts w:ascii="Cambria" w:hAnsi="Cambria" w:cs="MyriadPro-Black"/>
          <w:caps/>
          <w:color w:val="auto"/>
          <w:sz w:val="40"/>
          <w:szCs w:val="40"/>
        </w:rPr>
        <w:t>5</w:t>
      </w: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0B552A" w:rsidRDefault="000B552A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0B552A" w:rsidRDefault="000B552A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FF4CE5" w:rsidRPr="00952131" w:rsidRDefault="000B552A">
      <w:pPr>
        <w:spacing w:line="276" w:lineRule="auto"/>
      </w:pPr>
      <w:r w:rsidRPr="00952131">
        <w:rPr>
          <w:rFonts w:cs="MyriadPro-Black"/>
          <w:caps/>
          <w:sz w:val="32"/>
          <w:szCs w:val="40"/>
        </w:rPr>
        <w:t xml:space="preserve">pLATNOST OD </w:t>
      </w:r>
      <w:r w:rsidR="00D706EE">
        <w:rPr>
          <w:rFonts w:cs="MyriadPro-Black"/>
          <w:caps/>
          <w:sz w:val="32"/>
          <w:szCs w:val="40"/>
        </w:rPr>
        <w:t>21</w:t>
      </w:r>
      <w:r w:rsidRPr="00952131">
        <w:rPr>
          <w:rFonts w:cs="MyriadPro-Black"/>
          <w:caps/>
          <w:sz w:val="32"/>
          <w:szCs w:val="40"/>
        </w:rPr>
        <w:t xml:space="preserve">. </w:t>
      </w:r>
      <w:r w:rsidR="0007751E">
        <w:rPr>
          <w:rFonts w:cs="MyriadPro-Black"/>
          <w:caps/>
          <w:sz w:val="32"/>
          <w:szCs w:val="40"/>
        </w:rPr>
        <w:t>9</w:t>
      </w:r>
      <w:r w:rsidRPr="00952131">
        <w:rPr>
          <w:rFonts w:cs="MyriadPro-Black"/>
          <w:caps/>
          <w:sz w:val="32"/>
          <w:szCs w:val="40"/>
        </w:rPr>
        <w:t>. 201</w:t>
      </w:r>
      <w:r w:rsidR="0007751E">
        <w:rPr>
          <w:rFonts w:cs="MyriadPro-Black"/>
          <w:caps/>
          <w:sz w:val="32"/>
          <w:szCs w:val="40"/>
        </w:rPr>
        <w:t>7</w:t>
      </w:r>
      <w:r w:rsidR="00FF4CE5" w:rsidRPr="00952131">
        <w:br w:type="page"/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76"/>
        <w:gridCol w:w="5612"/>
      </w:tblGrid>
      <w:tr w:rsidR="00FF4CE5" w:rsidTr="00FF4CE5">
        <w:tc>
          <w:tcPr>
            <w:tcW w:w="197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F4CE5" w:rsidRDefault="00FF4CE5">
            <w:pPr>
              <w:spacing w:after="0"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Stavby</w:t>
            </w:r>
          </w:p>
          <w:p w:rsidR="00FF4CE5" w:rsidRDefault="00FF4CE5">
            <w:pPr>
              <w:spacing w:after="0" w:line="276" w:lineRule="auto"/>
              <w:rPr>
                <w:b/>
                <w:sz w:val="22"/>
                <w:szCs w:val="22"/>
              </w:rPr>
            </w:pPr>
          </w:p>
          <w:p w:rsidR="00FF4CE5" w:rsidRDefault="00FF4CE5">
            <w:pPr>
              <w:spacing w:after="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Stavební úpravy</w:t>
            </w:r>
          </w:p>
          <w:p w:rsidR="00FF4CE5" w:rsidRDefault="00FF4CE5">
            <w:pPr>
              <w:spacing w:after="0" w:line="276" w:lineRule="auto"/>
              <w:rPr>
                <w:b/>
                <w:sz w:val="22"/>
                <w:szCs w:val="22"/>
              </w:rPr>
            </w:pPr>
          </w:p>
          <w:p w:rsidR="00BA764A" w:rsidRDefault="000912BF">
            <w:pPr>
              <w:spacing w:after="0"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Rekonstrukce</w:t>
            </w:r>
          </w:p>
          <w:p w:rsidR="000912BF" w:rsidRDefault="000912BF">
            <w:pPr>
              <w:spacing w:after="0" w:line="276" w:lineRule="auto"/>
              <w:jc w:val="both"/>
              <w:rPr>
                <w:b/>
                <w:sz w:val="22"/>
                <w:szCs w:val="22"/>
              </w:rPr>
            </w:pPr>
          </w:p>
          <w:p w:rsidR="00FF4CE5" w:rsidRDefault="00FF4CE5">
            <w:pPr>
              <w:spacing w:after="0"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Demolice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02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účetní/daňové doklady s identifikací předmětu plnění pro posouzení způsobilosti výdaje; 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doklad o zaplacení;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smlouva o dílo vč. položkového rozpočtu stavby, případně dodatky smlouvy o dílo;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protokol o předání a převzetí díla/stavby;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kolaudační rozhodnutí či souhlas</w:t>
            </w:r>
            <w:r w:rsidR="0007751E">
              <w:rPr>
                <w:sz w:val="22"/>
                <w:szCs w:val="22"/>
              </w:rPr>
              <w:t>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rozhodnutí o předčasném užití stavby</w:t>
            </w:r>
            <w:r w:rsidR="0007751E">
              <w:rPr>
                <w:sz w:val="22"/>
                <w:szCs w:val="22"/>
              </w:rPr>
              <w:t>;</w:t>
            </w:r>
            <w:r>
              <w:rPr>
                <w:sz w:val="22"/>
                <w:szCs w:val="22"/>
              </w:rPr>
              <w:t xml:space="preserve"> 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rozhodnutí o prozatímním užívání ke zkušebnímu provozu;</w:t>
            </w:r>
          </w:p>
          <w:p w:rsidR="00FF4CE5" w:rsidRDefault="00FF4CE5" w:rsidP="00D706EE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demoliční výměr</w:t>
            </w:r>
            <w:r w:rsidR="00706A70">
              <w:rPr>
                <w:sz w:val="22"/>
                <w:szCs w:val="22"/>
              </w:rPr>
              <w:t>.</w:t>
            </w:r>
          </w:p>
        </w:tc>
      </w:tr>
      <w:tr w:rsidR="00B54467" w:rsidTr="00FF4CE5">
        <w:tc>
          <w:tcPr>
            <w:tcW w:w="197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54467" w:rsidRPr="00E11130" w:rsidRDefault="00B54467" w:rsidP="00924F13">
            <w:pPr>
              <w:tabs>
                <w:tab w:val="left" w:pos="4050"/>
              </w:tabs>
              <w:spacing w:after="120"/>
              <w:jc w:val="both"/>
              <w:rPr>
                <w:rFonts w:asciiTheme="majorHAnsi" w:hAnsiTheme="majorHAnsi" w:cs="Arial"/>
                <w:b/>
              </w:rPr>
            </w:pPr>
            <w:r w:rsidRPr="00E11130">
              <w:rPr>
                <w:rFonts w:asciiTheme="majorHAnsi" w:hAnsiTheme="majorHAnsi" w:cs="Arial"/>
                <w:b/>
              </w:rPr>
              <w:t xml:space="preserve">Nákup </w:t>
            </w:r>
            <w:r>
              <w:rPr>
                <w:rFonts w:asciiTheme="majorHAnsi" w:hAnsiTheme="majorHAnsi" w:cs="Arial"/>
                <w:b/>
              </w:rPr>
              <w:t>pozemků</w:t>
            </w:r>
            <w:r w:rsidRPr="00E11130">
              <w:rPr>
                <w:rFonts w:asciiTheme="majorHAnsi" w:hAnsiTheme="majorHAnsi" w:cs="Arial"/>
                <w:b/>
              </w:rPr>
              <w:t xml:space="preserve"> </w:t>
            </w:r>
          </w:p>
          <w:p w:rsidR="00B54467" w:rsidRPr="00E11130" w:rsidRDefault="00B54467" w:rsidP="00B54467">
            <w:pPr>
              <w:pStyle w:val="Odstavecseseznamem"/>
              <w:numPr>
                <w:ilvl w:val="0"/>
                <w:numId w:val="22"/>
              </w:numPr>
              <w:spacing w:line="276" w:lineRule="auto"/>
            </w:pPr>
            <w:r w:rsidRPr="00E11130">
              <w:t>do 10 % celkových způsobilých výdajů projektu</w:t>
            </w:r>
            <w:r>
              <w:t>;</w:t>
            </w:r>
            <w:r w:rsidRPr="00E11130">
              <w:t xml:space="preserve"> </w:t>
            </w:r>
          </w:p>
          <w:p w:rsidR="00B54467" w:rsidRPr="00E11130" w:rsidRDefault="00B54467" w:rsidP="00B54467">
            <w:pPr>
              <w:pStyle w:val="Odstavecseseznamem"/>
              <w:numPr>
                <w:ilvl w:val="0"/>
                <w:numId w:val="22"/>
              </w:numPr>
              <w:tabs>
                <w:tab w:val="left" w:pos="4050"/>
              </w:tabs>
              <w:rPr>
                <w:rFonts w:cs="Arial"/>
              </w:rPr>
            </w:pPr>
            <w:r w:rsidRPr="00E11130">
              <w:t>pořizovací cena max. do výše ce</w:t>
            </w:r>
            <w:r>
              <w:t>ny zjištěné znaleckým posudkem.</w:t>
            </w:r>
          </w:p>
          <w:p w:rsidR="00B54467" w:rsidRPr="00E11130" w:rsidRDefault="00B54467" w:rsidP="00924F13">
            <w:pPr>
              <w:ind w:left="720"/>
              <w:rPr>
                <w:rFonts w:asciiTheme="majorHAnsi" w:hAnsiTheme="majorHAnsi"/>
              </w:rPr>
            </w:pPr>
          </w:p>
          <w:p w:rsidR="00B54467" w:rsidRPr="00E11130" w:rsidRDefault="00B54467" w:rsidP="00924F13">
            <w:pPr>
              <w:spacing w:after="120"/>
              <w:rPr>
                <w:rFonts w:asciiTheme="majorHAnsi" w:hAnsiTheme="majorHAnsi"/>
                <w:b/>
              </w:rPr>
            </w:pPr>
            <w:r w:rsidRPr="00E11130">
              <w:rPr>
                <w:rFonts w:asciiTheme="majorHAnsi" w:hAnsiTheme="majorHAnsi"/>
                <w:b/>
              </w:rPr>
              <w:t xml:space="preserve">Nákup </w:t>
            </w:r>
            <w:r>
              <w:rPr>
                <w:rFonts w:asciiTheme="majorHAnsi" w:hAnsiTheme="majorHAnsi"/>
                <w:b/>
              </w:rPr>
              <w:t>staveb</w:t>
            </w:r>
          </w:p>
          <w:p w:rsidR="00B54467" w:rsidRDefault="00B54467" w:rsidP="00F75BBA">
            <w:pPr>
              <w:pStyle w:val="Odstavecseseznamem"/>
              <w:numPr>
                <w:ilvl w:val="0"/>
                <w:numId w:val="3"/>
              </w:numPr>
              <w:spacing w:line="276" w:lineRule="auto"/>
              <w:jc w:val="left"/>
              <w:rPr>
                <w:sz w:val="22"/>
                <w:szCs w:val="22"/>
              </w:rPr>
            </w:pPr>
            <w:r w:rsidRPr="00E11130">
              <w:t>pořizovací cena max. do výše ceny zjištěné znaleckým posudkem</w:t>
            </w:r>
            <w:r>
              <w:t>.</w:t>
            </w:r>
          </w:p>
        </w:tc>
        <w:tc>
          <w:tcPr>
            <w:tcW w:w="302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54467" w:rsidRPr="00D706EE" w:rsidRDefault="00B54467" w:rsidP="00B54467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706E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:rsidR="00B54467" w:rsidRPr="00D706EE" w:rsidRDefault="00B54467" w:rsidP="00B54467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706EE">
              <w:rPr>
                <w:rFonts w:asciiTheme="majorHAnsi" w:hAnsiTheme="majorHAnsi"/>
                <w:sz w:val="22"/>
                <w:szCs w:val="22"/>
              </w:rPr>
              <w:t xml:space="preserve">kupní smlouva; </w:t>
            </w:r>
          </w:p>
          <w:p w:rsidR="00B54467" w:rsidRPr="00D706EE" w:rsidRDefault="00B54467" w:rsidP="00B54467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706EE">
              <w:rPr>
                <w:rFonts w:asciiTheme="majorHAnsi" w:hAnsiTheme="majorHAnsi"/>
                <w:sz w:val="22"/>
                <w:szCs w:val="22"/>
              </w:rPr>
              <w:t>znalecký posudek ne starší 6 měsíců před datem pořízení nemovitosti;</w:t>
            </w:r>
          </w:p>
          <w:p w:rsidR="00B54467" w:rsidRPr="00D706EE" w:rsidRDefault="00B54467" w:rsidP="00B54467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706EE">
              <w:rPr>
                <w:rFonts w:asciiTheme="majorHAnsi" w:hAnsiTheme="majorHAnsi"/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  <w:p w:rsidR="00B54467" w:rsidRPr="00DC75A9" w:rsidRDefault="00B54467">
            <w:pPr>
              <w:spacing w:line="276" w:lineRule="auto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</w:tr>
      <w:tr w:rsidR="00FF4CE5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F4CE5" w:rsidRDefault="00FF4CE5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Pořízení drobného hmotného majetku </w:t>
            </w:r>
          </w:p>
          <w:p w:rsidR="00FF4CE5" w:rsidRDefault="00FF4CE5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Pořízení drobného nehmotného majetku </w:t>
            </w:r>
          </w:p>
          <w:p w:rsidR="00FF4CE5" w:rsidRDefault="00FF4CE5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Pořízení dlouhodobého hmotného majetku </w:t>
            </w:r>
          </w:p>
          <w:p w:rsidR="00FF4CE5" w:rsidRDefault="00FF4CE5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Pořízení dlouhodobého nehmotného majetku </w:t>
            </w:r>
          </w:p>
          <w:p w:rsidR="00FF4CE5" w:rsidRDefault="00FF4CE5">
            <w:pPr>
              <w:spacing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doklad o zaplacení;</w:t>
            </w:r>
          </w:p>
          <w:p w:rsidR="00FF4CE5" w:rsidRDefault="00FF4CE5" w:rsidP="00D706EE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smlouva, případně její dodatky</w:t>
            </w:r>
            <w:r w:rsidR="0007751E">
              <w:rPr>
                <w:sz w:val="22"/>
                <w:szCs w:val="22"/>
              </w:rPr>
              <w:t>.</w:t>
            </w:r>
          </w:p>
        </w:tc>
      </w:tr>
      <w:tr w:rsidR="00FF4CE5" w:rsidTr="00D706EE">
        <w:trPr>
          <w:trHeight w:val="2532"/>
        </w:trPr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F4CE5" w:rsidRDefault="00FF4CE5">
            <w:pPr>
              <w:tabs>
                <w:tab w:val="left" w:pos="4050"/>
              </w:tabs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lastRenderedPageBreak/>
              <w:t>Projektová dokumentace</w:t>
            </w:r>
          </w:p>
          <w:p w:rsidR="00FF4CE5" w:rsidRDefault="00FF4CE5" w:rsidP="00F75BBA">
            <w:pPr>
              <w:pStyle w:val="Odstavecseseznamem"/>
              <w:keepNext/>
              <w:keepLines/>
              <w:numPr>
                <w:ilvl w:val="0"/>
                <w:numId w:val="4"/>
              </w:numPr>
              <w:spacing w:before="480"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projektové dokumentace stavby a související průzkumy stavby</w:t>
            </w:r>
          </w:p>
          <w:p w:rsidR="00FF4CE5" w:rsidRDefault="00FF4CE5" w:rsidP="00F75BBA">
            <w:pPr>
              <w:pStyle w:val="Odstavecseseznamem"/>
              <w:numPr>
                <w:ilvl w:val="0"/>
                <w:numId w:val="4"/>
              </w:numPr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dokumentace k procesu EIA</w:t>
            </w:r>
          </w:p>
          <w:p w:rsidR="00FF4CE5" w:rsidRPr="00D706EE" w:rsidRDefault="00FF4CE5" w:rsidP="00D706EE">
            <w:pPr>
              <w:pStyle w:val="Odstavecseseznamem"/>
              <w:numPr>
                <w:ilvl w:val="0"/>
                <w:numId w:val="4"/>
              </w:numPr>
              <w:spacing w:after="0" w:line="276" w:lineRule="auto"/>
              <w:ind w:left="714" w:hanging="357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studie proveditelnosti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F4CE5" w:rsidRDefault="00FF4CE5" w:rsidP="00F75BBA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:rsidR="00FF4CE5" w:rsidRDefault="00FF4CE5" w:rsidP="00F75BBA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:rsidR="00FF4CE5" w:rsidRDefault="00FF4CE5" w:rsidP="00F75BBA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doklad o zaplacení;</w:t>
            </w:r>
          </w:p>
          <w:p w:rsidR="00FF4CE5" w:rsidRDefault="00FF4CE5" w:rsidP="00D706EE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smlouva, případně její dodatky</w:t>
            </w:r>
            <w:r w:rsidR="0007751E">
              <w:rPr>
                <w:sz w:val="22"/>
                <w:szCs w:val="22"/>
              </w:rPr>
              <w:t>.</w:t>
            </w:r>
          </w:p>
        </w:tc>
      </w:tr>
      <w:tr w:rsidR="00FF4CE5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4CE5" w:rsidRDefault="00FF4CE5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Zabezpečení výstavby </w:t>
            </w:r>
          </w:p>
          <w:p w:rsidR="00FF4CE5" w:rsidRDefault="00FF4CE5" w:rsidP="00F75BBA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technický dozor investora</w:t>
            </w:r>
          </w:p>
          <w:p w:rsidR="00FF4CE5" w:rsidRDefault="00FF4CE5" w:rsidP="00F75BBA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BOZP</w:t>
            </w:r>
          </w:p>
          <w:p w:rsidR="00FF4CE5" w:rsidRDefault="00FF4CE5" w:rsidP="00F75BBA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autorský dozor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doklad o zaplacení;</w:t>
            </w:r>
          </w:p>
          <w:p w:rsidR="00FF4CE5" w:rsidRPr="006A12A0" w:rsidRDefault="00FF4CE5" w:rsidP="00D706EE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smlouva, případně její dodatky</w:t>
            </w:r>
            <w:r w:rsidR="00706A70">
              <w:rPr>
                <w:sz w:val="22"/>
                <w:szCs w:val="22"/>
              </w:rPr>
              <w:t>.</w:t>
            </w:r>
          </w:p>
        </w:tc>
      </w:tr>
      <w:tr w:rsidR="00FF4CE5" w:rsidTr="00D706EE">
        <w:trPr>
          <w:trHeight w:val="978"/>
        </w:trPr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F4CE5" w:rsidRDefault="00FF4CE5">
            <w:pPr>
              <w:spacing w:line="276" w:lineRule="auto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Pořízení služeb bezprostředně souvisejících s realizací projektu:</w:t>
            </w:r>
          </w:p>
          <w:p w:rsidR="00FF4CE5" w:rsidRDefault="00FF4CE5">
            <w:pPr>
              <w:pStyle w:val="Odstavecseseznamem"/>
              <w:spacing w:line="276" w:lineRule="auto"/>
              <w:rPr>
                <w:b/>
                <w:bCs/>
                <w:sz w:val="22"/>
                <w:szCs w:val="22"/>
              </w:rPr>
            </w:pPr>
          </w:p>
          <w:p w:rsidR="00FF4CE5" w:rsidRDefault="00FF4CE5" w:rsidP="00F75BBA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Studie proveditelnosti,</w:t>
            </w:r>
          </w:p>
          <w:p w:rsidR="00FF4CE5" w:rsidRPr="00D706EE" w:rsidRDefault="00FF4CE5" w:rsidP="00D706EE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zadávací a výběrová řízení (výdaje spojené s přípravou a realizací zadávacích a výběrových řízení)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účetní/daňové doklady s identifikací předmětu plnění pro posouzení způsobilosti;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doklady o zaplacení; výdaje za opakované zadávací nebo výběrové řízení jsou způsobilé pouze v případě, pokud zadavatel zrušení zadávacího nebo výběrového řízení nezavinil sám a řízení bylo zrušeno v souladu s příslušnými předpisy</w:t>
            </w:r>
            <w:r w:rsidR="006A12A0">
              <w:rPr>
                <w:sz w:val="22"/>
                <w:szCs w:val="22"/>
              </w:rPr>
              <w:t>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smlouva o poskytnutí služeb, smlouva o dílo, případně její dodatky; 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způsob výpočtu alikvotní částky, pokud se uplatňuje poměrná část výdaje pro projekt;</w:t>
            </w:r>
          </w:p>
          <w:p w:rsidR="00FF4CE5" w:rsidRPr="00706A70" w:rsidRDefault="00FF4CE5" w:rsidP="00D706EE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doklad o zaplacení</w:t>
            </w:r>
            <w:r w:rsidR="006A12A0">
              <w:rPr>
                <w:sz w:val="22"/>
                <w:szCs w:val="22"/>
              </w:rPr>
              <w:t>.</w:t>
            </w:r>
          </w:p>
        </w:tc>
      </w:tr>
      <w:tr w:rsidR="00FF4CE5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F4CE5" w:rsidRDefault="00FF4CE5">
            <w:pPr>
              <w:tabs>
                <w:tab w:val="left" w:pos="4050"/>
              </w:tabs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Povinná publicita</w:t>
            </w:r>
          </w:p>
          <w:p w:rsidR="00FF4CE5" w:rsidRDefault="00FF4CE5">
            <w:pPr>
              <w:spacing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účetní/daňové doklady s identifikací předmětu plnění pro posouzení způsobilosti;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smlouva o poskytnutí služeb, smlouva o dílo, případně její dodatky;</w:t>
            </w:r>
          </w:p>
          <w:p w:rsidR="00FF4CE5" w:rsidRPr="006A12A0" w:rsidRDefault="00FF4CE5" w:rsidP="00D706EE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doklad o zaplacení</w:t>
            </w:r>
            <w:r w:rsidR="00706A70">
              <w:rPr>
                <w:sz w:val="22"/>
                <w:szCs w:val="22"/>
              </w:rPr>
              <w:t>.</w:t>
            </w:r>
          </w:p>
        </w:tc>
      </w:tr>
      <w:tr w:rsidR="00FF4CE5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4CE5" w:rsidRDefault="00FF4CE5">
            <w:pPr>
              <w:spacing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DPH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při využití plnění pro ekonomickou činnost a osvobozená plnění se dokládá výše skutečného (vypořádacího) koeficientu za vypořádávané období (výdaj se považuje za doložený až na základě vypořádacího koeficientu, kdy je známá skutečná výše </w:t>
            </w:r>
            <w:r>
              <w:rPr>
                <w:sz w:val="22"/>
                <w:szCs w:val="22"/>
              </w:rPr>
              <w:lastRenderedPageBreak/>
              <w:t>výdaje);</w:t>
            </w:r>
          </w:p>
          <w:p w:rsidR="00FF4CE5" w:rsidRDefault="00FF4CE5" w:rsidP="00CE58EB">
            <w:pPr>
              <w:numPr>
                <w:ilvl w:val="1"/>
                <w:numId w:val="7"/>
              </w:numPr>
              <w:spacing w:after="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při využití přenesené daňové povinnosti kopie evidence pro daňové účely a kopie výpisu z bankovního účtu jako doklad o úhradě daňové povinnosti </w:t>
            </w:r>
            <w:r w:rsidR="00CE58EB">
              <w:rPr>
                <w:sz w:val="22"/>
                <w:szCs w:val="22"/>
              </w:rPr>
              <w:t>orgánu finanční správy</w:t>
            </w:r>
            <w:r>
              <w:rPr>
                <w:sz w:val="22"/>
                <w:szCs w:val="22"/>
              </w:rPr>
              <w:t>.</w:t>
            </w:r>
          </w:p>
        </w:tc>
      </w:tr>
      <w:tr w:rsidR="00FF4CE5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4CE5" w:rsidRDefault="00FF4CE5">
            <w:pPr>
              <w:spacing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Účetní doklady do 10 000 Kč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Výdaje do 10 000 Kč lze uvést v Seznamu účetních dokladů v MS2014+ a nedokládat k nim faktury, paragony a další účetní doklady. 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Maximální limit pro začlenění do seznamu účetních dokladů je 10 000 Kč včetně DPH za jeden účetní doklad. </w:t>
            </w:r>
          </w:p>
          <w:p w:rsidR="00FF4CE5" w:rsidRDefault="00FF4CE5" w:rsidP="00F75BBA">
            <w:pPr>
              <w:numPr>
                <w:ilvl w:val="1"/>
                <w:numId w:val="7"/>
              </w:numPr>
              <w:spacing w:after="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Pro tyto výdaje platí povinnost předložit v případě kontroly originály příslušných účetních dokladů.</w:t>
            </w:r>
          </w:p>
        </w:tc>
      </w:tr>
    </w:tbl>
    <w:p w:rsidR="002F7B44" w:rsidRDefault="002F7B44"/>
    <w:p w:rsidR="002F7B44" w:rsidRDefault="002F7B44">
      <w:pPr>
        <w:spacing w:line="276" w:lineRule="auto"/>
      </w:pPr>
    </w:p>
    <w:sectPr w:rsidR="002F7B44" w:rsidSect="00FF4CE5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D9C" w:rsidRDefault="005C3D9C" w:rsidP="00FF4CE5">
      <w:pPr>
        <w:spacing w:after="0"/>
      </w:pPr>
      <w:r>
        <w:separator/>
      </w:r>
    </w:p>
  </w:endnote>
  <w:endnote w:type="continuationSeparator" w:id="0">
    <w:p w:rsidR="005C3D9C" w:rsidRDefault="005C3D9C" w:rsidP="00FF4C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1372915"/>
      <w:docPartObj>
        <w:docPartGallery w:val="Page Numbers (Bottom of Page)"/>
        <w:docPartUnique/>
      </w:docPartObj>
    </w:sdtPr>
    <w:sdtEndPr/>
    <w:sdtContent>
      <w:p w:rsidR="00B75437" w:rsidRDefault="00B75437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B75437" w:rsidRPr="00E47FC1" w:rsidTr="007512C5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B75437" w:rsidRPr="00E47FC1" w:rsidRDefault="00B75437" w:rsidP="007512C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B75437" w:rsidRPr="00E47FC1" w:rsidRDefault="00B75437" w:rsidP="007512C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D706EE">
                <w:rPr>
                  <w:rStyle w:val="slostrnky"/>
                  <w:rFonts w:ascii="Arial" w:hAnsi="Arial" w:cs="Arial"/>
                  <w:noProof/>
                </w:rPr>
                <w:t>3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D706EE">
                <w:rPr>
                  <w:rStyle w:val="slostrnky"/>
                  <w:rFonts w:ascii="Arial" w:hAnsi="Arial" w:cs="Arial"/>
                  <w:noProof/>
                </w:rPr>
                <w:t>4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</w:p>
          </w:tc>
        </w:tr>
      </w:tbl>
      <w:p w:rsidR="008427CF" w:rsidRDefault="00D706EE">
        <w:pPr>
          <w:pStyle w:val="Zpat"/>
          <w:jc w:val="center"/>
        </w:pPr>
      </w:p>
    </w:sdtContent>
  </w:sdt>
  <w:p w:rsidR="008427CF" w:rsidRDefault="008427C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D9C" w:rsidRDefault="005C3D9C" w:rsidP="00FF4CE5">
      <w:pPr>
        <w:spacing w:after="0"/>
      </w:pPr>
      <w:r>
        <w:separator/>
      </w:r>
    </w:p>
  </w:footnote>
  <w:footnote w:type="continuationSeparator" w:id="0">
    <w:p w:rsidR="005C3D9C" w:rsidRDefault="005C3D9C" w:rsidP="00FF4CE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CE5" w:rsidRDefault="00FF4CE5">
    <w:pPr>
      <w:pStyle w:val="Zhlav"/>
    </w:pPr>
    <w:r>
      <w:rPr>
        <w:noProof/>
        <w:lang w:eastAsia="cs-CZ"/>
      </w:rPr>
      <w:drawing>
        <wp:inline distT="0" distB="0" distL="0" distR="0" wp14:anchorId="46165051" wp14:editId="6114083E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22F0C"/>
    <w:multiLevelType w:val="hybridMultilevel"/>
    <w:tmpl w:val="2D1A8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266BA"/>
    <w:multiLevelType w:val="hybridMultilevel"/>
    <w:tmpl w:val="68586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C69B4"/>
    <w:multiLevelType w:val="hybridMultilevel"/>
    <w:tmpl w:val="F8068E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220E17"/>
    <w:multiLevelType w:val="hybridMultilevel"/>
    <w:tmpl w:val="8B1AC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486F77"/>
    <w:multiLevelType w:val="hybridMultilevel"/>
    <w:tmpl w:val="3648B8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7CE570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AC08AE"/>
    <w:multiLevelType w:val="hybridMultilevel"/>
    <w:tmpl w:val="B04CE6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5A14C0"/>
    <w:multiLevelType w:val="hybridMultilevel"/>
    <w:tmpl w:val="9034A5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C90D70"/>
    <w:multiLevelType w:val="hybridMultilevel"/>
    <w:tmpl w:val="7C52C97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443CEE"/>
    <w:multiLevelType w:val="hybridMultilevel"/>
    <w:tmpl w:val="F6DA92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9C4E57"/>
    <w:multiLevelType w:val="hybridMultilevel"/>
    <w:tmpl w:val="2ED61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255A55"/>
    <w:multiLevelType w:val="multilevel"/>
    <w:tmpl w:val="547A375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7"/>
  </w:num>
  <w:num w:numId="4">
    <w:abstractNumId w:val="2"/>
  </w:num>
  <w:num w:numId="5">
    <w:abstractNumId w:val="3"/>
  </w:num>
  <w:num w:numId="6">
    <w:abstractNumId w:val="12"/>
  </w:num>
  <w:num w:numId="7">
    <w:abstractNumId w:val="0"/>
  </w:num>
  <w:num w:numId="8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</w:num>
  <w:num w:numId="10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</w:num>
  <w:num w:numId="12">
    <w:abstractNumId w:val="2"/>
  </w:num>
  <w:num w:numId="13">
    <w:abstractNumId w:val="3"/>
  </w:num>
  <w:num w:numId="14">
    <w:abstractNumId w:val="12"/>
  </w:num>
  <w:num w:numId="15">
    <w:abstractNumId w:val="0"/>
  </w:num>
  <w:num w:numId="16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9"/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0"/>
  </w:num>
  <w:num w:numId="22">
    <w:abstractNumId w:val="4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CE5"/>
    <w:rsid w:val="0007751E"/>
    <w:rsid w:val="000912BF"/>
    <w:rsid w:val="000B552A"/>
    <w:rsid w:val="000C657B"/>
    <w:rsid w:val="0011491F"/>
    <w:rsid w:val="001C4775"/>
    <w:rsid w:val="002F7B44"/>
    <w:rsid w:val="00376A07"/>
    <w:rsid w:val="003B1DC1"/>
    <w:rsid w:val="0043694D"/>
    <w:rsid w:val="00573DBC"/>
    <w:rsid w:val="005C3D9C"/>
    <w:rsid w:val="006A12A0"/>
    <w:rsid w:val="006A6582"/>
    <w:rsid w:val="006E2346"/>
    <w:rsid w:val="006E2A5B"/>
    <w:rsid w:val="00706A70"/>
    <w:rsid w:val="00715EBF"/>
    <w:rsid w:val="007F00C9"/>
    <w:rsid w:val="008409C9"/>
    <w:rsid w:val="008427CF"/>
    <w:rsid w:val="00870FA3"/>
    <w:rsid w:val="008A04C9"/>
    <w:rsid w:val="00952131"/>
    <w:rsid w:val="00B54467"/>
    <w:rsid w:val="00B75437"/>
    <w:rsid w:val="00B8401C"/>
    <w:rsid w:val="00BA764A"/>
    <w:rsid w:val="00BC5672"/>
    <w:rsid w:val="00C94438"/>
    <w:rsid w:val="00C96EAE"/>
    <w:rsid w:val="00CE58EB"/>
    <w:rsid w:val="00D62A6F"/>
    <w:rsid w:val="00D706EE"/>
    <w:rsid w:val="00DC75A9"/>
    <w:rsid w:val="00E735C3"/>
    <w:rsid w:val="00E920DF"/>
    <w:rsid w:val="00F63071"/>
    <w:rsid w:val="00F84874"/>
    <w:rsid w:val="00FF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0397E"/>
  <w15:docId w15:val="{47D89799-CD2A-47D0-B0D2-B3117CDAE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4CE5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FF4CE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hAnsi="MinionPro-Regular" w:cs="MinionPro-Regular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CE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4CE5"/>
    <w:rPr>
      <w:rFonts w:ascii="Tahoma" w:eastAsia="MS Mincho" w:hAnsi="Tahoma" w:cs="Tahoma"/>
      <w:sz w:val="16"/>
      <w:szCs w:val="16"/>
      <w:lang w:eastAsia="ja-JP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FF4CE5"/>
    <w:rPr>
      <w:rFonts w:asciiTheme="majorHAnsi" w:eastAsia="MS Mincho" w:hAnsiTheme="majorHAnsi" w:cs="Times New Roman"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FF4CE5"/>
    <w:pPr>
      <w:ind w:left="720"/>
      <w:contextualSpacing/>
      <w:jc w:val="both"/>
    </w:pPr>
    <w:rPr>
      <w:rFonts w:asciiTheme="majorHAnsi" w:hAnsiTheme="majorHAns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FF4C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4CE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4CE5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4C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4CE5"/>
    <w:rPr>
      <w:rFonts w:ascii="Cambria" w:eastAsia="MS Mincho" w:hAnsi="Cambria"/>
      <w:b/>
      <w:bCs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B7543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90803-4337-4A82-B332-18DE9B6E8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638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 Hejduková</dc:creator>
  <cp:lastModifiedBy>Soňa Habová</cp:lastModifiedBy>
  <cp:revision>30</cp:revision>
  <cp:lastPrinted>2016-10-07T09:13:00Z</cp:lastPrinted>
  <dcterms:created xsi:type="dcterms:W3CDTF">2016-09-21T09:18:00Z</dcterms:created>
  <dcterms:modified xsi:type="dcterms:W3CDTF">2017-09-19T11:16:00Z</dcterms:modified>
</cp:coreProperties>
</file>